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1491B" w14:textId="77777777" w:rsidR="00B11AD7" w:rsidRPr="00221A59" w:rsidRDefault="000D23F6" w:rsidP="002E1617">
      <w:pPr>
        <w:spacing w:after="240" w:line="276" w:lineRule="auto"/>
        <w:jc w:val="center"/>
        <w:rPr>
          <w:b/>
          <w:bCs/>
          <w:sz w:val="28"/>
          <w:szCs w:val="28"/>
        </w:rPr>
      </w:pPr>
      <w:r w:rsidRPr="00221A59">
        <w:rPr>
          <w:b/>
          <w:bCs/>
          <w:sz w:val="28"/>
          <w:szCs w:val="28"/>
        </w:rPr>
        <w:t xml:space="preserve">KAJIAN KONSENTRASI AGAR-AGAR TERHADAP MUTU PERMEN </w:t>
      </w:r>
      <w:r w:rsidRPr="00221A59">
        <w:rPr>
          <w:b/>
          <w:bCs/>
          <w:i/>
          <w:sz w:val="28"/>
          <w:szCs w:val="28"/>
        </w:rPr>
        <w:t>JELLY</w:t>
      </w:r>
      <w:r w:rsidRPr="00221A59">
        <w:rPr>
          <w:b/>
          <w:bCs/>
          <w:sz w:val="28"/>
          <w:szCs w:val="28"/>
        </w:rPr>
        <w:t xml:space="preserve"> CEMPEDAK (</w:t>
      </w:r>
      <w:r w:rsidRPr="00221A59">
        <w:rPr>
          <w:b/>
          <w:bCs/>
          <w:i/>
          <w:iCs/>
          <w:sz w:val="28"/>
          <w:szCs w:val="28"/>
        </w:rPr>
        <w:t xml:space="preserve">Artocarpus integer </w:t>
      </w:r>
      <w:r w:rsidRPr="00221A59">
        <w:rPr>
          <w:b/>
          <w:bCs/>
          <w:sz w:val="28"/>
          <w:szCs w:val="28"/>
        </w:rPr>
        <w:t>(Tunb.) Merr.)</w:t>
      </w:r>
    </w:p>
    <w:p w14:paraId="47C99016" w14:textId="20AFBE29" w:rsidR="00221A59" w:rsidRPr="00221A59" w:rsidRDefault="00221A59" w:rsidP="002E1617">
      <w:pPr>
        <w:autoSpaceDE w:val="0"/>
        <w:autoSpaceDN w:val="0"/>
        <w:adjustRightInd w:val="0"/>
        <w:jc w:val="center"/>
        <w:rPr>
          <w:b/>
          <w:iCs/>
        </w:rPr>
      </w:pPr>
      <w:r w:rsidRPr="00221A59">
        <w:rPr>
          <w:b/>
          <w:iCs/>
        </w:rPr>
        <w:t>Novita Elvina</w:t>
      </w:r>
      <w:r w:rsidRPr="00221A59">
        <w:rPr>
          <w:b/>
          <w:iCs/>
          <w:lang w:val="id-ID"/>
        </w:rPr>
        <w:t>*</w:t>
      </w:r>
      <w:r w:rsidRPr="00221A59">
        <w:rPr>
          <w:b/>
          <w:iCs/>
          <w:vertAlign w:val="superscript"/>
        </w:rPr>
        <w:t>1</w:t>
      </w:r>
      <w:r w:rsidRPr="00221A59">
        <w:rPr>
          <w:b/>
          <w:iCs/>
        </w:rPr>
        <w:t xml:space="preserve">), </w:t>
      </w:r>
      <w:r w:rsidRPr="00221A59">
        <w:rPr>
          <w:b/>
        </w:rPr>
        <w:t>Yohana Sutiknyawati Kusuma Dewi</w:t>
      </w:r>
      <w:r w:rsidRPr="00221A59">
        <w:rPr>
          <w:b/>
          <w:iCs/>
          <w:vertAlign w:val="superscript"/>
        </w:rPr>
        <w:t>2</w:t>
      </w:r>
      <w:r w:rsidRPr="00221A59">
        <w:rPr>
          <w:b/>
          <w:iCs/>
        </w:rPr>
        <w:t>)</w:t>
      </w:r>
      <w:r>
        <w:rPr>
          <w:b/>
          <w:iCs/>
          <w:lang w:val="id-ID"/>
        </w:rPr>
        <w:t>,</w:t>
      </w:r>
      <w:r w:rsidRPr="00221A59">
        <w:rPr>
          <w:b/>
          <w:iCs/>
        </w:rPr>
        <w:t xml:space="preserve"> </w:t>
      </w:r>
      <w:r w:rsidRPr="00221A59">
        <w:rPr>
          <w:b/>
        </w:rPr>
        <w:t>Oke</w:t>
      </w:r>
      <w:bookmarkStart w:id="0" w:name="_GoBack"/>
      <w:bookmarkEnd w:id="0"/>
      <w:r w:rsidRPr="00221A59">
        <w:rPr>
          <w:b/>
        </w:rPr>
        <w:t xml:space="preserve"> Anandika Lestari</w:t>
      </w:r>
      <w:r w:rsidRPr="00221A59">
        <w:rPr>
          <w:b/>
          <w:iCs/>
          <w:vertAlign w:val="superscript"/>
        </w:rPr>
        <w:t xml:space="preserve"> 2</w:t>
      </w:r>
      <w:r w:rsidRPr="00221A59">
        <w:rPr>
          <w:b/>
          <w:iCs/>
        </w:rPr>
        <w:t>)</w:t>
      </w:r>
    </w:p>
    <w:p w14:paraId="3CDB64B3" w14:textId="3E991006" w:rsidR="00221A59" w:rsidRPr="00221A59" w:rsidRDefault="00221A59" w:rsidP="002E1617">
      <w:pPr>
        <w:jc w:val="center"/>
        <w:rPr>
          <w:iCs/>
        </w:rPr>
      </w:pPr>
      <w:r w:rsidRPr="00221A59">
        <w:rPr>
          <w:iCs/>
        </w:rPr>
        <w:t>1)Mahasiswa Prodi Ilmu dan Teknologi Pangan</w:t>
      </w:r>
    </w:p>
    <w:p w14:paraId="1AA97F80" w14:textId="2A1A328C" w:rsidR="00221A59" w:rsidRPr="002E1617" w:rsidRDefault="00221A59" w:rsidP="002E1617">
      <w:pPr>
        <w:jc w:val="center"/>
        <w:rPr>
          <w:iCs/>
          <w:lang w:val="id-ID"/>
        </w:rPr>
      </w:pPr>
      <w:r w:rsidRPr="00221A59">
        <w:rPr>
          <w:iCs/>
        </w:rPr>
        <w:t>2)Dosen Fakultas Pertanian Universitas Tanjungpura</w:t>
      </w:r>
      <w:r w:rsidR="002E1617">
        <w:rPr>
          <w:iCs/>
          <w:lang w:val="id-ID"/>
        </w:rPr>
        <w:t xml:space="preserve">, </w:t>
      </w:r>
      <w:r w:rsidR="002E1617" w:rsidRPr="00D4442A">
        <w:rPr>
          <w:lang w:val="id-ID"/>
        </w:rPr>
        <w:t>Jl. Prof. Dr. H. Hadari Nawawi, Pontianak</w:t>
      </w:r>
    </w:p>
    <w:p w14:paraId="46B5C037" w14:textId="1AAB339E" w:rsidR="0077739D" w:rsidRPr="00D4442A" w:rsidRDefault="00130451" w:rsidP="009250AD">
      <w:pPr>
        <w:spacing w:after="240"/>
        <w:jc w:val="center"/>
        <w:rPr>
          <w:lang w:val="id-ID"/>
        </w:rPr>
      </w:pPr>
      <w:r w:rsidRPr="00221A59">
        <w:rPr>
          <w:b/>
          <w:lang w:val="id-ID"/>
        </w:rPr>
        <w:t>e</w:t>
      </w:r>
      <w:r w:rsidR="00221A59" w:rsidRPr="00221A59">
        <w:rPr>
          <w:b/>
          <w:lang w:val="id-ID"/>
        </w:rPr>
        <w:t>-</w:t>
      </w:r>
      <w:r w:rsidR="00B11AD7" w:rsidRPr="00221A59">
        <w:rPr>
          <w:b/>
          <w:lang w:val="id-ID"/>
        </w:rPr>
        <w:t xml:space="preserve">mail </w:t>
      </w:r>
      <w:r w:rsidR="00B11AD7" w:rsidRPr="00221A59">
        <w:rPr>
          <w:lang w:val="id-ID"/>
        </w:rPr>
        <w:t xml:space="preserve">: </w:t>
      </w:r>
      <w:r w:rsidR="00221A59" w:rsidRPr="00221A59">
        <w:rPr>
          <w:vertAlign w:val="superscript"/>
          <w:lang w:val="id-ID"/>
        </w:rPr>
        <w:t>*1</w:t>
      </w:r>
      <w:r w:rsidR="00221A59" w:rsidRPr="00221A59">
        <w:rPr>
          <w:lang w:val="id-ID"/>
        </w:rPr>
        <w:t>n</w:t>
      </w:r>
      <w:r w:rsidR="000D23F6" w:rsidRPr="00221A59">
        <w:rPr>
          <w:lang w:val="id-ID"/>
        </w:rPr>
        <w:t>ovitaelvinia96</w:t>
      </w:r>
      <w:r w:rsidR="0077739D" w:rsidRPr="00221A59">
        <w:rPr>
          <w:lang w:val="id-ID"/>
        </w:rPr>
        <w:t>@gmail.com</w:t>
      </w:r>
    </w:p>
    <w:p w14:paraId="459BD738" w14:textId="77777777" w:rsidR="0077739D" w:rsidRPr="00D4442A" w:rsidRDefault="0077739D" w:rsidP="00A11DD1">
      <w:pPr>
        <w:spacing w:line="276" w:lineRule="auto"/>
        <w:jc w:val="center"/>
        <w:rPr>
          <w:b/>
          <w:lang w:val="id-ID"/>
        </w:rPr>
      </w:pPr>
      <w:r w:rsidRPr="00D4442A">
        <w:rPr>
          <w:b/>
          <w:lang w:val="id-ID"/>
        </w:rPr>
        <w:t>Abstrak</w:t>
      </w:r>
    </w:p>
    <w:p w14:paraId="069C6600" w14:textId="1C79AE5C" w:rsidR="007D6FC7" w:rsidRPr="002E1617" w:rsidRDefault="007D6FC7" w:rsidP="000A028A">
      <w:pPr>
        <w:spacing w:after="120"/>
        <w:ind w:firstLine="426"/>
        <w:jc w:val="both"/>
        <w:rPr>
          <w:i/>
          <w:color w:val="FF0000"/>
        </w:rPr>
      </w:pPr>
      <w:r w:rsidRPr="002E1617">
        <w:rPr>
          <w:i/>
        </w:rPr>
        <w:t>Cempedak merupakan buah yang mempunyai citarasa, aroma yang harum, dikonsumsi dalam keadaan segar dan memiliki umur simpan yang pendek, sehingga perlu dilakukan diversifikasi. Permen jelly merupakan permen yang dibuat dari air atau sari buah dan bahan pembentuk gel, yang berpenampilan transparan serta mempunyai tekstur dan kekenyalan tertentu. Faktor yang mempengaruhi mutu permen jelly salah satunya adalah bahan pembentuk gel (hidrokoloid). Pengkajian dilakukan terhadap konsentrasi agar-agar yang berbeda-beda untuk mendapatkan permen jelly cempedak dengan konsistensi kekenyalan serta mutu yang sesuai SNI (Standar Nasional Indonesia). Penelitian ini bertujuan untuk mendapatkan konsentrasi agar-agar terbaik pada pembuatan permen jelly cempedak berdasarkan sifat fisikokimia dan sensori. Penelitian ini menggunakan Rancangan Acak Kelompok dengan 1 faktor perlakuan yaitu konsentrasi agar-agar yang terdiri dari 7 taraf perlakuan dengan 4 kali ulangan tiap perlakuannya sehingga diperoleh 28 sampel. Hasil penelitian menunjukkan perlakuan terbaik terdapat pada konsentrasi 3 % agar-agar dengan hasil uji fisikokimia berupa kadar air (12,48 %), kadar abu (0,29 %)</w:t>
      </w:r>
      <w:r w:rsidR="00AE7175" w:rsidRPr="002E1617">
        <w:rPr>
          <w:i/>
          <w:lang w:val="id-ID"/>
        </w:rPr>
        <w:t xml:space="preserve"> dan</w:t>
      </w:r>
      <w:r w:rsidRPr="002E1617">
        <w:rPr>
          <w:i/>
        </w:rPr>
        <w:t xml:space="preserve"> total padatan terlarut (25,13 </w:t>
      </w:r>
      <w:r w:rsidRPr="002E1617">
        <w:rPr>
          <w:i/>
          <w:vertAlign w:val="superscript"/>
        </w:rPr>
        <w:t>0</w:t>
      </w:r>
      <w:r w:rsidRPr="002E1617">
        <w:rPr>
          <w:i/>
        </w:rPr>
        <w:t>brix). Karakteristik sensori jelly terbaik yaitu kekerasan 4,10 (agak keras), keasaman 2,87 (agak asam), warna 3,47 (agak kuning), kemanisan 3,60 (manis), aroma cempedak 3,80 (ada) dan kesukaan 3,80 (suka).</w:t>
      </w:r>
    </w:p>
    <w:p w14:paraId="3901BBA2" w14:textId="77777777" w:rsidR="00EE6F24" w:rsidRPr="00D4442A" w:rsidRDefault="00491027" w:rsidP="002160F3">
      <w:pPr>
        <w:spacing w:after="120"/>
        <w:ind w:left="1276" w:hanging="1276"/>
        <w:jc w:val="both"/>
        <w:rPr>
          <w:b/>
          <w:lang w:val="id-ID"/>
        </w:rPr>
      </w:pPr>
      <w:r w:rsidRPr="00F130B3">
        <w:rPr>
          <w:b/>
        </w:rPr>
        <w:t>Keywords:</w:t>
      </w:r>
      <w:r w:rsidRPr="00F130B3">
        <w:rPr>
          <w:b/>
          <w:i/>
        </w:rPr>
        <w:tab/>
      </w:r>
      <w:r w:rsidR="00C26653">
        <w:rPr>
          <w:i/>
          <w:lang w:val="id-ID"/>
        </w:rPr>
        <w:t>Agar-agar, cempedak, m</w:t>
      </w:r>
      <w:r w:rsidRPr="00F130B3">
        <w:rPr>
          <w:i/>
        </w:rPr>
        <w:t>utu,</w:t>
      </w:r>
      <w:r w:rsidRPr="00F130B3">
        <w:rPr>
          <w:b/>
          <w:i/>
        </w:rPr>
        <w:t xml:space="preserve"> </w:t>
      </w:r>
      <w:r w:rsidRPr="00F130B3">
        <w:rPr>
          <w:i/>
        </w:rPr>
        <w:t>permen jelly</w:t>
      </w:r>
    </w:p>
    <w:p w14:paraId="12880115" w14:textId="77777777" w:rsidR="00432DF1" w:rsidRDefault="00432DF1" w:rsidP="00A11DD1">
      <w:pPr>
        <w:spacing w:line="276" w:lineRule="auto"/>
        <w:ind w:left="1276" w:hanging="1276"/>
        <w:jc w:val="both"/>
        <w:rPr>
          <w:b/>
          <w:lang w:val="id-ID"/>
        </w:rPr>
      </w:pPr>
    </w:p>
    <w:p w14:paraId="069E4432" w14:textId="77777777" w:rsidR="00FE28CB" w:rsidRPr="00D4442A" w:rsidRDefault="00FE28CB" w:rsidP="00A11DD1">
      <w:pPr>
        <w:spacing w:line="276" w:lineRule="auto"/>
        <w:ind w:left="1276" w:hanging="1276"/>
        <w:jc w:val="both"/>
        <w:rPr>
          <w:b/>
          <w:lang w:val="id-ID"/>
        </w:rPr>
        <w:sectPr w:rsidR="00FE28CB" w:rsidRPr="00D4442A" w:rsidSect="00BB343B">
          <w:pgSz w:w="11906" w:h="16838"/>
          <w:pgMar w:top="1701" w:right="1701" w:bottom="1701" w:left="2268" w:header="708" w:footer="708" w:gutter="0"/>
          <w:cols w:space="708"/>
          <w:docGrid w:linePitch="360"/>
        </w:sectPr>
      </w:pPr>
    </w:p>
    <w:p w14:paraId="00AAE32C" w14:textId="1F2350BA" w:rsidR="00D4442A" w:rsidRPr="00D4442A" w:rsidRDefault="00EE6F24" w:rsidP="002160F3">
      <w:pPr>
        <w:spacing w:after="120" w:line="276" w:lineRule="auto"/>
        <w:ind w:left="1276" w:hanging="1276"/>
        <w:jc w:val="both"/>
        <w:rPr>
          <w:b/>
          <w:lang w:val="id-ID"/>
        </w:rPr>
      </w:pPr>
      <w:r w:rsidRPr="00D4442A">
        <w:rPr>
          <w:b/>
          <w:lang w:val="id-ID"/>
        </w:rPr>
        <w:t>P</w:t>
      </w:r>
      <w:r w:rsidR="000C0BEC">
        <w:rPr>
          <w:b/>
          <w:lang w:val="id-ID"/>
        </w:rPr>
        <w:t>endahuluan</w:t>
      </w:r>
    </w:p>
    <w:p w14:paraId="36D9BA85" w14:textId="77777777" w:rsidR="00FE28CB" w:rsidRDefault="00E72488" w:rsidP="000A028A">
      <w:pPr>
        <w:spacing w:line="276" w:lineRule="auto"/>
        <w:ind w:firstLine="426"/>
        <w:jc w:val="both"/>
      </w:pPr>
      <w:r w:rsidRPr="00192973">
        <w:t>Buah cempedak merupakan buah yang mempunyai citarasa</w:t>
      </w:r>
      <w:r>
        <w:t xml:space="preserve"> dan</w:t>
      </w:r>
      <w:r w:rsidRPr="00192973">
        <w:t xml:space="preserve"> aroma yang haru</w:t>
      </w:r>
      <w:r>
        <w:t>m.</w:t>
      </w:r>
      <w:r w:rsidRPr="00192973">
        <w:t xml:space="preserve"> Buah cempedak termasuk dalam buah klimaterik</w:t>
      </w:r>
      <w:r>
        <w:t xml:space="preserve"> </w:t>
      </w:r>
      <w:r w:rsidRPr="00192973">
        <w:t>yang mempunyai umur simpan</w:t>
      </w:r>
      <w:r>
        <w:rPr>
          <w:lang w:val="id-ID"/>
        </w:rPr>
        <w:t xml:space="preserve"> </w:t>
      </w:r>
      <w:r w:rsidRPr="00192973">
        <w:t>pendek (Arif dkk., 2014).</w:t>
      </w:r>
      <w:r w:rsidRPr="00E72488">
        <w:t xml:space="preserve"> </w:t>
      </w:r>
      <w:r w:rsidRPr="00192973">
        <w:t>Pada saat panen raya buah cempedak melimpah dan harganya murah. Oleh karena itu upaya diversi</w:t>
      </w:r>
      <w:r>
        <w:t>f</w:t>
      </w:r>
      <w:r w:rsidRPr="00192973">
        <w:t xml:space="preserve">ikasi pangan untuk memperpanjang umur simpan dalam </w:t>
      </w:r>
      <w:r w:rsidRPr="00192973">
        <w:t>bentuk olahan pangan menjadi salah satu solusi.</w:t>
      </w:r>
      <w:bookmarkStart w:id="1" w:name="_Hlk507520932"/>
      <w:r w:rsidRPr="00E72488">
        <w:t xml:space="preserve"> </w:t>
      </w:r>
      <w:r w:rsidRPr="00192973">
        <w:t xml:space="preserve">Permen </w:t>
      </w:r>
      <w:r w:rsidRPr="00710BA7">
        <w:rPr>
          <w:i/>
        </w:rPr>
        <w:t>jelly</w:t>
      </w:r>
      <w:r w:rsidRPr="00192973">
        <w:t xml:space="preserve"> merupakan permen yang dibuat dari air atau sari buah dan bahan pembentuk gel, yang berpenampilan transparan serta mempunyai tekstur dan kekenyalan tertentu </w:t>
      </w:r>
      <w:bookmarkEnd w:id="1"/>
      <w:r w:rsidRPr="00192973">
        <w:t>(Bait, 2012)</w:t>
      </w:r>
      <w:r>
        <w:rPr>
          <w:lang w:val="id-ID"/>
        </w:rPr>
        <w:t xml:space="preserve">. </w:t>
      </w:r>
      <w:r w:rsidRPr="00192973">
        <w:t xml:space="preserve">Salah satu faktor yang mempengaruhi mutu permen </w:t>
      </w:r>
      <w:r w:rsidRPr="00192973">
        <w:rPr>
          <w:i/>
        </w:rPr>
        <w:t>jelly</w:t>
      </w:r>
      <w:r>
        <w:t xml:space="preserve"> adalah bahan </w:t>
      </w:r>
      <w:r w:rsidRPr="00192973">
        <w:t>pembentuk gel.</w:t>
      </w:r>
      <w:r w:rsidRPr="00E72488">
        <w:t xml:space="preserve"> </w:t>
      </w:r>
      <w:r w:rsidRPr="00192973">
        <w:t xml:space="preserve">Konsistensi permen </w:t>
      </w:r>
      <w:r w:rsidRPr="00D32F4F">
        <w:rPr>
          <w:i/>
        </w:rPr>
        <w:t>jelly</w:t>
      </w:r>
      <w:r w:rsidRPr="00192973">
        <w:t xml:space="preserve"> yang kenyal sangat dipengaruhi oleh kandungan agar-agar yang digunakan.</w:t>
      </w:r>
      <w:r w:rsidRPr="00E72488">
        <w:t xml:space="preserve"> </w:t>
      </w:r>
      <w:r>
        <w:t xml:space="preserve">Pada saat </w:t>
      </w:r>
      <w:r>
        <w:lastRenderedPageBreak/>
        <w:t xml:space="preserve">ini belum ada penelitian yang lebih mendalam tentang kebutuhan jumlah agar-agar yang optimal untuk permen </w:t>
      </w:r>
      <w:r>
        <w:rPr>
          <w:i/>
        </w:rPr>
        <w:t xml:space="preserve">jelly </w:t>
      </w:r>
      <w:r>
        <w:t>cempedak.</w:t>
      </w:r>
    </w:p>
    <w:p w14:paraId="66418C93" w14:textId="732BD51D" w:rsidR="00DD23E2" w:rsidRPr="00D4442A" w:rsidRDefault="00FD4A61" w:rsidP="002160F3">
      <w:pPr>
        <w:spacing w:before="240" w:line="276" w:lineRule="auto"/>
        <w:jc w:val="both"/>
        <w:rPr>
          <w:b/>
          <w:color w:val="000000"/>
          <w:lang w:val="id-ID"/>
        </w:rPr>
      </w:pPr>
      <w:r>
        <w:rPr>
          <w:b/>
          <w:color w:val="000000"/>
          <w:lang w:val="id-ID"/>
        </w:rPr>
        <w:t>Metode Penelitian</w:t>
      </w:r>
    </w:p>
    <w:p w14:paraId="7BBACE9F" w14:textId="77777777" w:rsidR="000856DF" w:rsidRPr="00D4442A" w:rsidRDefault="000856DF" w:rsidP="00A11DD1">
      <w:pPr>
        <w:spacing w:line="276" w:lineRule="auto"/>
        <w:jc w:val="both"/>
        <w:rPr>
          <w:b/>
          <w:color w:val="000000"/>
          <w:lang w:val="id-ID"/>
        </w:rPr>
      </w:pPr>
      <w:r w:rsidRPr="00D4442A">
        <w:rPr>
          <w:b/>
          <w:color w:val="000000"/>
          <w:lang w:val="id-ID"/>
        </w:rPr>
        <w:t>W</w:t>
      </w:r>
      <w:r w:rsidR="00A75EF6" w:rsidRPr="00D4442A">
        <w:rPr>
          <w:b/>
          <w:color w:val="000000"/>
          <w:lang w:val="id-ID"/>
        </w:rPr>
        <w:t>aktu dan Tempat Penelitian</w:t>
      </w:r>
    </w:p>
    <w:p w14:paraId="4895A731" w14:textId="77777777" w:rsidR="00072799" w:rsidRDefault="00072799" w:rsidP="000A028A">
      <w:pPr>
        <w:spacing w:line="276" w:lineRule="auto"/>
        <w:ind w:firstLine="426"/>
        <w:jc w:val="both"/>
      </w:pPr>
      <w:r w:rsidRPr="00D4442A">
        <w:t>Penelitian ini dilaksanakan di Laboratorium Teknologi Hasil Pertanian Fakultas Pertanian Universitas Tanjungpura Pontianak selama 6 bulan.</w:t>
      </w:r>
    </w:p>
    <w:p w14:paraId="03F3CC99" w14:textId="77777777" w:rsidR="00072799" w:rsidRPr="00D4442A" w:rsidRDefault="00072799" w:rsidP="002160F3">
      <w:pPr>
        <w:spacing w:before="240" w:line="276" w:lineRule="auto"/>
        <w:jc w:val="both"/>
        <w:rPr>
          <w:b/>
          <w:lang w:val="id-ID"/>
        </w:rPr>
      </w:pPr>
      <w:r w:rsidRPr="00D4442A">
        <w:rPr>
          <w:b/>
          <w:lang w:val="id-ID"/>
        </w:rPr>
        <w:t>Bahan</w:t>
      </w:r>
      <w:r w:rsidR="006262D9">
        <w:rPr>
          <w:b/>
          <w:lang w:val="id-ID"/>
        </w:rPr>
        <w:t xml:space="preserve"> dan Alat</w:t>
      </w:r>
    </w:p>
    <w:p w14:paraId="3AFCC1B4" w14:textId="77777777" w:rsidR="005008ED" w:rsidRPr="00A55456" w:rsidRDefault="00072799" w:rsidP="000A028A">
      <w:pPr>
        <w:spacing w:line="276" w:lineRule="auto"/>
        <w:ind w:firstLine="426"/>
        <w:jc w:val="both"/>
      </w:pPr>
      <w:r w:rsidRPr="00D4442A">
        <w:rPr>
          <w:lang w:val="id-ID"/>
        </w:rPr>
        <w:t>Bahan yang digunakan dalam penelitian ini adalah</w:t>
      </w:r>
      <w:r w:rsidR="005008ED" w:rsidRPr="00A55456">
        <w:t xml:space="preserve"> </w:t>
      </w:r>
      <w:r w:rsidR="005008ED">
        <w:rPr>
          <w:lang w:val="id-ID"/>
        </w:rPr>
        <w:t>d</w:t>
      </w:r>
      <w:r w:rsidR="005008ED" w:rsidRPr="00A55456">
        <w:t>aging buah cempedak, agar-agar cap walet, akuades, gula pasir, asam sitrat, air, NaOH 0,1 N, indikator fenolftalein.</w:t>
      </w:r>
    </w:p>
    <w:p w14:paraId="4C17B5DF" w14:textId="77777777" w:rsidR="00D74687" w:rsidRPr="00A55456" w:rsidRDefault="00072799" w:rsidP="000A028A">
      <w:pPr>
        <w:spacing w:line="276" w:lineRule="auto"/>
        <w:ind w:firstLine="426"/>
        <w:jc w:val="both"/>
      </w:pPr>
      <w:r w:rsidRPr="00D4442A">
        <w:rPr>
          <w:lang w:val="id-ID"/>
        </w:rPr>
        <w:t xml:space="preserve">Alat yang digunakan adalah </w:t>
      </w:r>
      <w:r w:rsidR="00D74687" w:rsidRPr="00A55456">
        <w:t xml:space="preserve">Kompor, gas LPG, blender, sendok, saringan 80 mesh, wajan, mangkuk, timbangan analitik, </w:t>
      </w:r>
      <w:r w:rsidR="00D74687" w:rsidRPr="00D26C44">
        <w:rPr>
          <w:i/>
        </w:rPr>
        <w:t>thermometer</w:t>
      </w:r>
      <w:r w:rsidR="00D74687" w:rsidRPr="00A55456">
        <w:t xml:space="preserve">, pengaduk, cetakan </w:t>
      </w:r>
      <w:r w:rsidR="00D74687" w:rsidRPr="00A55456">
        <w:rPr>
          <w:i/>
          <w:iCs/>
        </w:rPr>
        <w:t>jelly</w:t>
      </w:r>
      <w:r w:rsidR="00D74687" w:rsidRPr="00A55456">
        <w:t xml:space="preserve">, cawan porslen, oven, desikator, gelas piala, kaca arloji, erlenmeyer, tabung setrifius, </w:t>
      </w:r>
      <w:r w:rsidR="00D74687" w:rsidRPr="00CB5955">
        <w:rPr>
          <w:i/>
        </w:rPr>
        <w:t>vortex</w:t>
      </w:r>
      <w:r w:rsidR="00D74687" w:rsidRPr="00A55456">
        <w:t xml:space="preserve"> </w:t>
      </w:r>
      <w:r w:rsidR="00D74687" w:rsidRPr="00CB5955">
        <w:rPr>
          <w:i/>
        </w:rPr>
        <w:t>mixer</w:t>
      </w:r>
      <w:r w:rsidR="00D74687" w:rsidRPr="00A55456">
        <w:t xml:space="preserve">, aluminium foil,  refraktometer,  </w:t>
      </w:r>
      <w:r w:rsidR="00D74687" w:rsidRPr="00CB5955">
        <w:rPr>
          <w:i/>
        </w:rPr>
        <w:t>texture analizer</w:t>
      </w:r>
      <w:r w:rsidR="00D74687" w:rsidRPr="00A55456">
        <w:t>, labu ukur, pipet tetes, buret, kulkas,</w:t>
      </w:r>
      <w:r w:rsidR="00D74687" w:rsidRPr="00A55456">
        <w:rPr>
          <w:i/>
        </w:rPr>
        <w:t xml:space="preserve"> </w:t>
      </w:r>
      <w:r w:rsidR="00D74687" w:rsidRPr="00A55456">
        <w:t>alat tulis menulis dan alat dokumentasi.</w:t>
      </w:r>
    </w:p>
    <w:p w14:paraId="250FD9D3" w14:textId="4B84D9E6" w:rsidR="00EA1791" w:rsidRPr="00D4442A" w:rsidRDefault="00FD4A61" w:rsidP="002160F3">
      <w:pPr>
        <w:autoSpaceDE w:val="0"/>
        <w:autoSpaceDN w:val="0"/>
        <w:adjustRightInd w:val="0"/>
        <w:spacing w:before="240" w:after="120" w:line="276" w:lineRule="auto"/>
        <w:jc w:val="both"/>
        <w:rPr>
          <w:lang w:val="id-ID"/>
        </w:rPr>
      </w:pPr>
      <w:r>
        <w:rPr>
          <w:b/>
          <w:lang w:val="id-ID"/>
        </w:rPr>
        <w:t>Rancangan</w:t>
      </w:r>
      <w:r w:rsidR="00EA1791" w:rsidRPr="00D4442A">
        <w:rPr>
          <w:b/>
          <w:lang w:val="id-ID"/>
        </w:rPr>
        <w:t xml:space="preserve"> Penelit</w:t>
      </w:r>
      <w:r w:rsidR="001E04BC">
        <w:rPr>
          <w:b/>
          <w:lang w:val="id-ID"/>
        </w:rPr>
        <w:t>ian</w:t>
      </w:r>
    </w:p>
    <w:p w14:paraId="6C243417" w14:textId="19078CFD" w:rsidR="00C73096" w:rsidRDefault="00EA1791" w:rsidP="000A028A">
      <w:pPr>
        <w:autoSpaceDE w:val="0"/>
        <w:autoSpaceDN w:val="0"/>
        <w:adjustRightInd w:val="0"/>
        <w:spacing w:line="276" w:lineRule="auto"/>
        <w:ind w:firstLine="426"/>
        <w:jc w:val="both"/>
        <w:rPr>
          <w:lang w:val="id-ID"/>
        </w:rPr>
      </w:pPr>
      <w:r w:rsidRPr="00D4442A">
        <w:t xml:space="preserve">Penelitian </w:t>
      </w:r>
      <w:r w:rsidRPr="00D4442A">
        <w:rPr>
          <w:bCs/>
        </w:rPr>
        <w:t xml:space="preserve">ini </w:t>
      </w:r>
      <w:r w:rsidRPr="00D4442A">
        <w:t xml:space="preserve">menggunakan Rancangan Acak Kelompok </w:t>
      </w:r>
      <w:r w:rsidR="00D74687" w:rsidRPr="00A55456">
        <w:t>(Stell dan Torrie, 1991)</w:t>
      </w:r>
      <w:r w:rsidRPr="00D4442A">
        <w:t xml:space="preserve"> dengan </w:t>
      </w:r>
      <w:r w:rsidR="00FE02FA" w:rsidRPr="00A55456">
        <w:t>1 faktor</w:t>
      </w:r>
      <w:r w:rsidR="00FE02FA">
        <w:rPr>
          <w:lang w:val="id-ID"/>
        </w:rPr>
        <w:t xml:space="preserve"> perlakuan</w:t>
      </w:r>
      <w:r w:rsidR="00FE02FA" w:rsidRPr="00A55456">
        <w:t xml:space="preserve"> dan 4 kali ulangan dengan 7 level konsentrasi agar-agar terhadap</w:t>
      </w:r>
      <w:r w:rsidR="006262D9" w:rsidRPr="006262D9">
        <w:t xml:space="preserve"> </w:t>
      </w:r>
      <w:r w:rsidR="006262D9" w:rsidRPr="00A55456">
        <w:t>sari cempedak</w:t>
      </w:r>
      <w:r w:rsidR="00FE02FA" w:rsidRPr="00A55456">
        <w:t xml:space="preserve"> 60:40</w:t>
      </w:r>
      <w:r w:rsidR="006262D9">
        <w:rPr>
          <w:lang w:val="id-ID"/>
        </w:rPr>
        <w:t xml:space="preserve"> </w:t>
      </w:r>
      <w:r w:rsidR="00FE02FA" w:rsidRPr="00A55456">
        <w:t>% gula pasir dan 0,5% asam sitrat</w:t>
      </w:r>
      <w:r w:rsidR="00FE02FA">
        <w:rPr>
          <w:lang w:val="id-ID"/>
        </w:rPr>
        <w:t>.</w:t>
      </w:r>
      <w:r w:rsidRPr="00D4442A">
        <w:rPr>
          <w:lang w:val="id-ID"/>
        </w:rPr>
        <w:t xml:space="preserve"> Setiap perlakuan dilakukan pengulangan sebanyak </w:t>
      </w:r>
      <w:r w:rsidR="00FE02FA">
        <w:rPr>
          <w:lang w:val="id-ID"/>
        </w:rPr>
        <w:t>4</w:t>
      </w:r>
      <w:r w:rsidRPr="00D4442A">
        <w:t xml:space="preserve"> kali</w:t>
      </w:r>
      <w:r w:rsidRPr="00D4442A">
        <w:rPr>
          <w:lang w:val="id-ID"/>
        </w:rPr>
        <w:t xml:space="preserve"> sehingga diperoleh 2</w:t>
      </w:r>
      <w:r w:rsidR="00FE02FA">
        <w:rPr>
          <w:lang w:val="id-ID"/>
        </w:rPr>
        <w:t>8</w:t>
      </w:r>
      <w:r w:rsidRPr="00D4442A">
        <w:rPr>
          <w:lang w:val="id-ID"/>
        </w:rPr>
        <w:t xml:space="preserve"> sampel. </w:t>
      </w:r>
      <w:r w:rsidR="00FE02FA">
        <w:rPr>
          <w:lang w:val="id-ID"/>
        </w:rPr>
        <w:t xml:space="preserve">Konsentrasi agar-agar </w:t>
      </w:r>
      <w:r w:rsidR="00C73096">
        <w:rPr>
          <w:lang w:val="id-ID"/>
        </w:rPr>
        <w:t xml:space="preserve">yang digunakan </w:t>
      </w:r>
      <w:r w:rsidR="00C73096">
        <w:rPr>
          <w:lang w:val="id-ID"/>
        </w:rPr>
        <w:t xml:space="preserve">yaitu 1%, 2%, 3%, 4%, 5%, 6% dan 7% </w:t>
      </w:r>
      <w:r w:rsidR="00FE02FA" w:rsidRPr="001A7CAA">
        <w:rPr>
          <w:lang w:val="id-ID"/>
        </w:rPr>
        <w:t>terhadap 60 % sari cempedak : 40 % gula pasir dan 0,5 % asam sitrat.</w:t>
      </w:r>
    </w:p>
    <w:p w14:paraId="43EF3849" w14:textId="6F9619A8" w:rsidR="00560125" w:rsidRDefault="00C50DCB" w:rsidP="002160F3">
      <w:pPr>
        <w:autoSpaceDE w:val="0"/>
        <w:autoSpaceDN w:val="0"/>
        <w:adjustRightInd w:val="0"/>
        <w:spacing w:before="240" w:line="276" w:lineRule="auto"/>
        <w:jc w:val="both"/>
        <w:rPr>
          <w:b/>
          <w:lang w:val="id-ID"/>
        </w:rPr>
      </w:pPr>
      <w:r w:rsidRPr="00D4442A">
        <w:rPr>
          <w:b/>
          <w:lang w:val="id-ID"/>
        </w:rPr>
        <w:t>Prosedur Kerja</w:t>
      </w:r>
    </w:p>
    <w:p w14:paraId="4B4F31F1" w14:textId="77777777" w:rsidR="00560125" w:rsidRPr="00560125" w:rsidRDefault="00560125" w:rsidP="00A11DD1">
      <w:pPr>
        <w:autoSpaceDE w:val="0"/>
        <w:autoSpaceDN w:val="0"/>
        <w:adjustRightInd w:val="0"/>
        <w:spacing w:line="276" w:lineRule="auto"/>
        <w:jc w:val="both"/>
        <w:rPr>
          <w:b/>
          <w:i/>
          <w:lang w:val="id-ID"/>
        </w:rPr>
      </w:pPr>
      <w:r>
        <w:rPr>
          <w:b/>
          <w:i/>
          <w:lang w:val="id-ID"/>
        </w:rPr>
        <w:t>Pengumpulan buah cempedak</w:t>
      </w:r>
    </w:p>
    <w:p w14:paraId="383BDA32" w14:textId="77777777" w:rsidR="00841308" w:rsidRDefault="00C73096" w:rsidP="000A028A">
      <w:pPr>
        <w:spacing w:line="276" w:lineRule="auto"/>
        <w:ind w:firstLine="426"/>
        <w:jc w:val="both"/>
        <w:rPr>
          <w:i/>
        </w:rPr>
      </w:pPr>
      <w:bookmarkStart w:id="2" w:name="_Hlk507530058"/>
      <w:r w:rsidRPr="00A55456">
        <w:t>Buah cempedak yang digunakan dalam penelitian ini</w:t>
      </w:r>
      <w:r>
        <w:t xml:space="preserve"> </w:t>
      </w:r>
      <w:r w:rsidRPr="00A55456">
        <w:t xml:space="preserve">dari beberapa petani dan pedagang buah cempedak yang ada di Pontianak dan </w:t>
      </w:r>
      <w:r>
        <w:t>A</w:t>
      </w:r>
      <w:r w:rsidRPr="00A55456">
        <w:t xml:space="preserve">mbawang. Buah cempedak </w:t>
      </w:r>
      <w:r>
        <w:t>y</w:t>
      </w:r>
      <w:r w:rsidRPr="00A55456">
        <w:t>ang sudah dikumpulk</w:t>
      </w:r>
      <w:r>
        <w:t>a</w:t>
      </w:r>
      <w:r w:rsidRPr="00A55456">
        <w:t>n dik</w:t>
      </w:r>
      <w:r>
        <w:t>u</w:t>
      </w:r>
      <w:r w:rsidRPr="00A55456">
        <w:t xml:space="preserve">pas dan diambil dagingnya yang kemudian disimpan di dalam </w:t>
      </w:r>
      <w:r w:rsidRPr="00035874">
        <w:rPr>
          <w:i/>
        </w:rPr>
        <w:t>freezer.</w:t>
      </w:r>
      <w:bookmarkEnd w:id="2"/>
    </w:p>
    <w:p w14:paraId="7165F192" w14:textId="77777777" w:rsidR="004E5B29" w:rsidRPr="00560125" w:rsidRDefault="00560125" w:rsidP="002160F3">
      <w:pPr>
        <w:spacing w:before="240" w:after="120" w:line="276" w:lineRule="auto"/>
        <w:jc w:val="both"/>
        <w:rPr>
          <w:b/>
          <w:i/>
          <w:lang w:val="id-ID"/>
        </w:rPr>
      </w:pPr>
      <w:r>
        <w:rPr>
          <w:b/>
          <w:i/>
          <w:lang w:val="id-ID"/>
        </w:rPr>
        <w:t>Pembuatan permen jelly cempedak</w:t>
      </w:r>
    </w:p>
    <w:p w14:paraId="6EF15C8E" w14:textId="77777777" w:rsidR="00C73096" w:rsidRPr="008C1537" w:rsidRDefault="00C73096" w:rsidP="000A028A">
      <w:pPr>
        <w:spacing w:line="276" w:lineRule="auto"/>
        <w:ind w:firstLine="426"/>
        <w:jc w:val="both"/>
      </w:pPr>
      <w:bookmarkStart w:id="3" w:name="_Hlk507530140"/>
      <w:r>
        <w:t>D</w:t>
      </w:r>
      <w:r w:rsidRPr="00A55456">
        <w:t>aging buah cempedak</w:t>
      </w:r>
      <w:r>
        <w:t xml:space="preserve"> diblender dengan perbandingan daging buah dan air adalah</w:t>
      </w:r>
      <w:r w:rsidRPr="00A55456">
        <w:t xml:space="preserve"> 1:3, kemudian hasil blender tersebut disaring dengan saringan 80 mesh. Masukkan gula, sari cempedak yang telah disaring dan agar-agar ked</w:t>
      </w:r>
      <w:r>
        <w:t>alam wajan, kemu</w:t>
      </w:r>
      <w:r w:rsidRPr="00A55456">
        <w:t xml:space="preserve">dian aduk hingga rata. </w:t>
      </w:r>
      <w:r>
        <w:t>Ma</w:t>
      </w:r>
      <w:r w:rsidRPr="00A55456">
        <w:t xml:space="preserve">sak campuran bahan tersebut dengan api sedang sampai mendidih. Matikan api kompor dan tambahkan asam sitrat yang telah diencerkan dengan sari cempedak kedalam adonan tersebut, lalu aduk hingga rata. </w:t>
      </w:r>
      <w:r>
        <w:t xml:space="preserve">Pindahkan ke cetakan, </w:t>
      </w:r>
      <w:r w:rsidRPr="008C1537">
        <w:t>diamkan disuhu ruang 1</w:t>
      </w:r>
      <w:r>
        <w:t>0 jam</w:t>
      </w:r>
      <w:r w:rsidRPr="008C1537">
        <w:t>,</w:t>
      </w:r>
      <w:r>
        <w:t xml:space="preserve"> lepaskan dari cetakan</w:t>
      </w:r>
      <w:r w:rsidRPr="008C1537">
        <w:t xml:space="preserve"> </w:t>
      </w:r>
      <w:r>
        <w:t xml:space="preserve">kemudian keringkan dengan sinar matahari ± 5 hari pada suhu 30-55 </w:t>
      </w:r>
      <w:r w:rsidRPr="000878B1">
        <w:rPr>
          <w:vertAlign w:val="superscript"/>
        </w:rPr>
        <w:t>0</w:t>
      </w:r>
      <w:r>
        <w:t>C selama 7-8 jam setaip hari dengan kadar air 10 sampai 16 %</w:t>
      </w:r>
      <w:bookmarkEnd w:id="3"/>
      <w:r>
        <w:t xml:space="preserve"> dan pH sebesar 3-3,3. </w:t>
      </w:r>
    </w:p>
    <w:p w14:paraId="7D23234D" w14:textId="77777777" w:rsidR="00AE7DD9" w:rsidRPr="00BE1713" w:rsidRDefault="00AE7DD9" w:rsidP="002160F3">
      <w:pPr>
        <w:spacing w:before="240" w:after="120" w:line="276" w:lineRule="auto"/>
        <w:jc w:val="both"/>
        <w:rPr>
          <w:b/>
          <w:i/>
          <w:lang w:val="id-ID"/>
        </w:rPr>
      </w:pPr>
      <w:r w:rsidRPr="00BE1713">
        <w:rPr>
          <w:b/>
          <w:i/>
          <w:lang w:val="id-ID"/>
        </w:rPr>
        <w:t>Variabel Pengamatan</w:t>
      </w:r>
    </w:p>
    <w:p w14:paraId="480E2CB8" w14:textId="77777777" w:rsidR="00CC3AE4" w:rsidRPr="009E2079" w:rsidRDefault="00CC3AE4" w:rsidP="00A11DD1">
      <w:pPr>
        <w:spacing w:line="276" w:lineRule="auto"/>
        <w:jc w:val="both"/>
        <w:rPr>
          <w:b/>
          <w:lang w:val="id-ID"/>
        </w:rPr>
      </w:pPr>
      <w:r w:rsidRPr="009E2079">
        <w:rPr>
          <w:b/>
          <w:i/>
          <w:lang w:val="id-ID"/>
        </w:rPr>
        <w:t>Kadar air</w:t>
      </w:r>
    </w:p>
    <w:p w14:paraId="62D67079" w14:textId="77777777" w:rsidR="00CC3AE4" w:rsidRPr="00210851" w:rsidRDefault="00CC3AE4" w:rsidP="000A028A">
      <w:pPr>
        <w:spacing w:line="276" w:lineRule="auto"/>
        <w:ind w:firstLine="426"/>
        <w:jc w:val="both"/>
        <w:rPr>
          <w:lang w:val="id-ID"/>
        </w:rPr>
      </w:pPr>
      <w:r w:rsidRPr="00210851">
        <w:t>Kadar air diukur denga</w:t>
      </w:r>
      <w:r w:rsidR="00FD1AE2">
        <w:t xml:space="preserve">n menggunakan metode gravimetri </w:t>
      </w:r>
      <w:r w:rsidR="00FD1AE2">
        <w:rPr>
          <w:lang w:val="id-ID"/>
        </w:rPr>
        <w:lastRenderedPageBreak/>
        <w:t xml:space="preserve">dalam persen berat basah </w:t>
      </w:r>
      <w:r w:rsidRPr="00210851">
        <w:t>(Sudarmadji dkk</w:t>
      </w:r>
      <w:r w:rsidR="00D26C44">
        <w:rPr>
          <w:lang w:val="id-ID"/>
        </w:rPr>
        <w:t>.</w:t>
      </w:r>
      <w:r w:rsidR="00FD1AE2">
        <w:t>, 1997).</w:t>
      </w:r>
    </w:p>
    <w:p w14:paraId="57A5C5CC" w14:textId="77777777" w:rsidR="00CC3AE4" w:rsidRPr="009E2079" w:rsidRDefault="00CC3AE4" w:rsidP="00A11DD1">
      <w:pPr>
        <w:spacing w:line="276" w:lineRule="auto"/>
        <w:jc w:val="both"/>
        <w:rPr>
          <w:b/>
          <w:i/>
          <w:lang w:val="id-ID"/>
        </w:rPr>
      </w:pPr>
      <w:r w:rsidRPr="009E2079">
        <w:rPr>
          <w:b/>
          <w:i/>
          <w:lang w:val="id-ID"/>
        </w:rPr>
        <w:t>Kadar abu</w:t>
      </w:r>
    </w:p>
    <w:p w14:paraId="0DA1F5E9" w14:textId="77777777" w:rsidR="00CC3AE4" w:rsidRPr="00210851" w:rsidRDefault="00CC3AE4" w:rsidP="00A11DD1">
      <w:pPr>
        <w:spacing w:line="276" w:lineRule="auto"/>
        <w:jc w:val="both"/>
        <w:rPr>
          <w:lang w:val="id-ID"/>
        </w:rPr>
      </w:pPr>
      <w:r w:rsidRPr="00210851">
        <w:t>Penentuan kadar abu dapat dilakukan secara langsung dengan cara membakar bahan pada suhu tinggi (500 - 600</w:t>
      </w:r>
      <w:r w:rsidRPr="00210851">
        <w:rPr>
          <w:vertAlign w:val="superscript"/>
        </w:rPr>
        <w:t xml:space="preserve">0 </w:t>
      </w:r>
      <w:r w:rsidRPr="00210851">
        <w:t>C) selama beberapa (2 - 8) jam dan kemudian menimbang sisa pembakaran yang tertinggal sebagai abu</w:t>
      </w:r>
      <w:r w:rsidR="00210851" w:rsidRPr="00210851">
        <w:rPr>
          <w:lang w:val="id-ID"/>
        </w:rPr>
        <w:t xml:space="preserve"> </w:t>
      </w:r>
      <w:r w:rsidR="00210851" w:rsidRPr="00210851">
        <w:t>(Sudarmadji dkk, 1997)</w:t>
      </w:r>
      <w:r w:rsidR="00210851" w:rsidRPr="00210851">
        <w:rPr>
          <w:lang w:val="id-ID"/>
        </w:rPr>
        <w:t>.</w:t>
      </w:r>
    </w:p>
    <w:p w14:paraId="1963941C" w14:textId="77777777" w:rsidR="00CC3AE4" w:rsidRPr="009E2079" w:rsidRDefault="00210851" w:rsidP="00A11DD1">
      <w:pPr>
        <w:spacing w:line="276" w:lineRule="auto"/>
        <w:jc w:val="both"/>
        <w:rPr>
          <w:b/>
          <w:i/>
          <w:lang w:val="id-ID"/>
        </w:rPr>
      </w:pPr>
      <w:r w:rsidRPr="009E2079">
        <w:rPr>
          <w:b/>
          <w:i/>
          <w:lang w:val="id-ID"/>
        </w:rPr>
        <w:t>Total Padatan Terlarut</w:t>
      </w:r>
    </w:p>
    <w:p w14:paraId="1C35ACF2" w14:textId="77777777" w:rsidR="00CC3AE4" w:rsidRPr="00210851" w:rsidRDefault="00CC3AE4" w:rsidP="000A028A">
      <w:pPr>
        <w:spacing w:line="276" w:lineRule="auto"/>
        <w:ind w:firstLine="426"/>
        <w:jc w:val="both"/>
        <w:rPr>
          <w:lang w:val="id-ID"/>
        </w:rPr>
      </w:pPr>
      <w:r w:rsidRPr="00210851">
        <w:t xml:space="preserve">Analisis </w:t>
      </w:r>
      <w:r w:rsidR="00210851" w:rsidRPr="00210851">
        <w:rPr>
          <w:lang w:val="id-ID"/>
        </w:rPr>
        <w:t>total padatan terlarut diukur menggunakan alat refraktometer</w:t>
      </w:r>
      <w:r w:rsidR="00D2706F">
        <w:rPr>
          <w:lang w:val="id-ID"/>
        </w:rPr>
        <w:t xml:space="preserve"> (Pomeranz dan Meloan</w:t>
      </w:r>
      <w:r w:rsidR="00D26C44">
        <w:rPr>
          <w:lang w:val="id-ID"/>
        </w:rPr>
        <w:t xml:space="preserve">., </w:t>
      </w:r>
      <w:r w:rsidR="00D2706F">
        <w:rPr>
          <w:lang w:val="id-ID"/>
        </w:rPr>
        <w:t>1980)</w:t>
      </w:r>
      <w:r w:rsidR="009E2079">
        <w:rPr>
          <w:lang w:val="id-ID"/>
        </w:rPr>
        <w:t>.</w:t>
      </w:r>
    </w:p>
    <w:p w14:paraId="52389149" w14:textId="77777777" w:rsidR="00AE7DD9" w:rsidRPr="000512E2" w:rsidRDefault="00AE7DD9" w:rsidP="00A11DD1">
      <w:pPr>
        <w:spacing w:line="276" w:lineRule="auto"/>
        <w:jc w:val="both"/>
        <w:rPr>
          <w:b/>
          <w:i/>
          <w:lang w:val="id-ID"/>
        </w:rPr>
      </w:pPr>
      <w:r w:rsidRPr="000512E2">
        <w:rPr>
          <w:b/>
          <w:i/>
          <w:lang w:val="id-ID"/>
        </w:rPr>
        <w:t>Uji Sensori</w:t>
      </w:r>
    </w:p>
    <w:p w14:paraId="5F2A8166" w14:textId="105308FD" w:rsidR="00AE7DD9" w:rsidRPr="00247EFF" w:rsidRDefault="00AE7DD9" w:rsidP="000A028A">
      <w:pPr>
        <w:spacing w:line="276" w:lineRule="auto"/>
        <w:ind w:firstLine="426"/>
        <w:jc w:val="both"/>
      </w:pPr>
      <w:r w:rsidRPr="00D4442A">
        <w:t>Masing-masing perlakuan dilakukan uji organoleptik yang terdiri atas</w:t>
      </w:r>
      <w:r w:rsidR="000512E2" w:rsidRPr="000512E2">
        <w:t xml:space="preserve"> </w:t>
      </w:r>
      <w:r w:rsidR="00D26C44">
        <w:rPr>
          <w:lang w:val="id-ID"/>
        </w:rPr>
        <w:t>t</w:t>
      </w:r>
      <w:r w:rsidR="000512E2">
        <w:t xml:space="preserve">ingkat kekerasan, tingkat keasaman, warna, tingkat kemanisan, kesukaan dan aroma cempedak </w:t>
      </w:r>
      <w:r w:rsidR="000512E2" w:rsidRPr="00A55456">
        <w:t xml:space="preserve">dengan penilaian 1-5 berturut-turut. </w:t>
      </w:r>
      <w:r w:rsidR="000512E2">
        <w:t>P</w:t>
      </w:r>
      <w:r w:rsidR="000512E2" w:rsidRPr="00A55456">
        <w:t xml:space="preserve">anelis sebanyak 30 orang. Hasil uji organoleptik di analisis dengan </w:t>
      </w:r>
      <w:r w:rsidR="000512E2" w:rsidRPr="00A55456">
        <w:t xml:space="preserve">menggunakan metode Kruskall-Wallis (Pudjirahaju dan Astutik, 1999). Penentuan perlakuan terbaik uji indeks efektifitas menggunakan metode De Garmo </w:t>
      </w:r>
      <w:r w:rsidR="000512E2">
        <w:t>dkk</w:t>
      </w:r>
      <w:r w:rsidR="000512E2" w:rsidRPr="00A55456">
        <w:rPr>
          <w:i/>
        </w:rPr>
        <w:t xml:space="preserve">, </w:t>
      </w:r>
      <w:r w:rsidR="000512E2" w:rsidRPr="00A55456">
        <w:t>(1984).</w:t>
      </w:r>
    </w:p>
    <w:p w14:paraId="7ACA9D74" w14:textId="77777777" w:rsidR="004E5B29" w:rsidRPr="00716B0E" w:rsidRDefault="00AE7DD9" w:rsidP="00A11DD1">
      <w:pPr>
        <w:autoSpaceDE w:val="0"/>
        <w:autoSpaceDN w:val="0"/>
        <w:adjustRightInd w:val="0"/>
        <w:spacing w:line="276" w:lineRule="auto"/>
        <w:jc w:val="both"/>
        <w:rPr>
          <w:b/>
          <w:i/>
          <w:lang w:val="id-ID"/>
        </w:rPr>
      </w:pPr>
      <w:r w:rsidRPr="00716B0E">
        <w:rPr>
          <w:b/>
          <w:i/>
          <w:lang w:val="id-ID"/>
        </w:rPr>
        <w:t>Analisis data</w:t>
      </w:r>
    </w:p>
    <w:p w14:paraId="4A076BA4" w14:textId="77777777" w:rsidR="00AE7DD9" w:rsidRPr="00D4442A" w:rsidRDefault="00AE7DD9" w:rsidP="000A028A">
      <w:pPr>
        <w:autoSpaceDE w:val="0"/>
        <w:autoSpaceDN w:val="0"/>
        <w:adjustRightInd w:val="0"/>
        <w:spacing w:line="276" w:lineRule="auto"/>
        <w:ind w:firstLine="426"/>
        <w:jc w:val="both"/>
        <w:rPr>
          <w:i/>
          <w:lang w:val="id-ID"/>
        </w:rPr>
      </w:pPr>
      <w:r w:rsidRPr="00D4442A">
        <w:t>Data hasil penelitian dianalisis secara statistik dengan uji F (ANOVA) dengan taraf uji 5 %, jika berpengaruh nyata maka akan dilanjutkan dengan uji Beda Nyata Jujur (BNJ) dengan taraf 5 % (Hanafiah, 2003).</w:t>
      </w:r>
    </w:p>
    <w:p w14:paraId="77AC5466" w14:textId="4DE6B4AB" w:rsidR="00432DF1" w:rsidRPr="00D4442A" w:rsidRDefault="000677D3" w:rsidP="002160F3">
      <w:pPr>
        <w:spacing w:before="240" w:line="276" w:lineRule="auto"/>
        <w:jc w:val="both"/>
        <w:rPr>
          <w:b/>
          <w:lang w:val="id-ID"/>
        </w:rPr>
      </w:pPr>
      <w:r w:rsidRPr="00D4442A">
        <w:rPr>
          <w:b/>
          <w:lang w:val="id-ID"/>
        </w:rPr>
        <w:t>H</w:t>
      </w:r>
      <w:r w:rsidR="00FD4A61">
        <w:rPr>
          <w:b/>
          <w:lang w:val="id-ID"/>
        </w:rPr>
        <w:t>asil dan Pembahasan</w:t>
      </w:r>
    </w:p>
    <w:p w14:paraId="292EBF06" w14:textId="77777777" w:rsidR="00E51D4A" w:rsidRPr="00DF3765" w:rsidRDefault="00432DF1" w:rsidP="002160F3">
      <w:pPr>
        <w:spacing w:after="120" w:line="276" w:lineRule="auto"/>
        <w:jc w:val="both"/>
        <w:rPr>
          <w:b/>
          <w:i/>
          <w:lang w:val="id-ID"/>
        </w:rPr>
      </w:pPr>
      <w:r w:rsidRPr="00DF3765">
        <w:rPr>
          <w:b/>
          <w:i/>
          <w:lang w:val="id-ID"/>
        </w:rPr>
        <w:t xml:space="preserve">Karakteristik Fisikokimia </w:t>
      </w:r>
    </w:p>
    <w:p w14:paraId="31E6CC90" w14:textId="629D15CA" w:rsidR="00CE60B0" w:rsidRDefault="002B5687" w:rsidP="000A028A">
      <w:pPr>
        <w:spacing w:line="276" w:lineRule="auto"/>
        <w:ind w:firstLine="426"/>
        <w:jc w:val="both"/>
        <w:rPr>
          <w:lang w:val="id-ID"/>
        </w:rPr>
      </w:pPr>
      <w:r w:rsidRPr="00D4442A">
        <w:t>Uji fisikokimia ini dilakukan untuk mengetahui nilai gizi suatu produk yang akan menentukan mutu dari produk tersebut</w:t>
      </w:r>
      <w:r w:rsidR="008F479D">
        <w:rPr>
          <w:lang w:val="id-ID"/>
        </w:rPr>
        <w:t>.</w:t>
      </w:r>
      <w:r w:rsidR="00341926">
        <w:rPr>
          <w:lang w:val="id-ID"/>
        </w:rPr>
        <w:t xml:space="preserve"> Hasil analisis fisikokimia  permen </w:t>
      </w:r>
      <w:r w:rsidR="00341926">
        <w:rPr>
          <w:i/>
          <w:lang w:val="id-ID"/>
        </w:rPr>
        <w:t xml:space="preserve">jelly </w:t>
      </w:r>
      <w:r w:rsidR="00341926">
        <w:rPr>
          <w:lang w:val="id-ID"/>
        </w:rPr>
        <w:t xml:space="preserve"> cempedak disajikan pada tabel 1.</w:t>
      </w:r>
    </w:p>
    <w:p w14:paraId="68B17B85" w14:textId="77777777" w:rsidR="00341926" w:rsidRDefault="00341926" w:rsidP="00A11DD1">
      <w:pPr>
        <w:spacing w:line="276" w:lineRule="auto"/>
        <w:jc w:val="both"/>
        <w:rPr>
          <w:lang w:val="id-ID"/>
        </w:rPr>
      </w:pPr>
    </w:p>
    <w:p w14:paraId="69D12D13" w14:textId="77777777" w:rsidR="00341926" w:rsidRDefault="00341926" w:rsidP="00A11DD1">
      <w:pPr>
        <w:spacing w:line="276" w:lineRule="auto"/>
        <w:jc w:val="both"/>
        <w:rPr>
          <w:lang w:val="id-ID"/>
        </w:rPr>
      </w:pPr>
    </w:p>
    <w:p w14:paraId="7E375A94" w14:textId="51D205CC" w:rsidR="000A028A" w:rsidRPr="00341926" w:rsidRDefault="000A028A" w:rsidP="00A11DD1">
      <w:pPr>
        <w:spacing w:line="276" w:lineRule="auto"/>
        <w:jc w:val="both"/>
        <w:rPr>
          <w:lang w:val="id-ID"/>
        </w:rPr>
        <w:sectPr w:rsidR="000A028A" w:rsidRPr="00341926" w:rsidSect="00BB343B">
          <w:type w:val="continuous"/>
          <w:pgSz w:w="11906" w:h="16838"/>
          <w:pgMar w:top="1701" w:right="1701" w:bottom="1701" w:left="2268" w:header="709" w:footer="709" w:gutter="0"/>
          <w:cols w:num="2" w:space="566"/>
          <w:docGrid w:linePitch="360"/>
        </w:sectPr>
      </w:pPr>
    </w:p>
    <w:tbl>
      <w:tblPr>
        <w:tblW w:w="7830" w:type="dxa"/>
        <w:tblLayout w:type="fixed"/>
        <w:tblLook w:val="04A0" w:firstRow="1" w:lastRow="0" w:firstColumn="1" w:lastColumn="0" w:noHBand="0" w:noVBand="1"/>
      </w:tblPr>
      <w:tblGrid>
        <w:gridCol w:w="1310"/>
        <w:gridCol w:w="1843"/>
        <w:gridCol w:w="1842"/>
        <w:gridCol w:w="2835"/>
      </w:tblGrid>
      <w:tr w:rsidR="00341926" w:rsidRPr="00CE60B0" w14:paraId="11C85BE9" w14:textId="77777777" w:rsidTr="00341926">
        <w:trPr>
          <w:trHeight w:val="222"/>
        </w:trPr>
        <w:tc>
          <w:tcPr>
            <w:tcW w:w="7830" w:type="dxa"/>
            <w:gridSpan w:val="4"/>
            <w:tcBorders>
              <w:top w:val="single" w:sz="8" w:space="0" w:color="auto"/>
              <w:left w:val="nil"/>
              <w:right w:val="nil"/>
            </w:tcBorders>
            <w:vAlign w:val="center"/>
          </w:tcPr>
          <w:p w14:paraId="39BC8F0B" w14:textId="5C8C9AAA" w:rsidR="00341926" w:rsidRPr="00341926" w:rsidRDefault="00341926" w:rsidP="000A028A">
            <w:pPr>
              <w:pStyle w:val="ListParagraph"/>
              <w:spacing w:before="240" w:after="0"/>
              <w:ind w:left="-108"/>
              <w:rPr>
                <w:i/>
              </w:rPr>
            </w:pPr>
            <w:r w:rsidRPr="00341926">
              <w:rPr>
                <w:rFonts w:ascii="Times New Roman" w:hAnsi="Times New Roman" w:cs="Times New Roman"/>
                <w:bCs/>
                <w:color w:val="000000"/>
                <w:sz w:val="24"/>
                <w:szCs w:val="24"/>
              </w:rPr>
              <w:t>Tabel 1.</w:t>
            </w:r>
            <w:r>
              <w:rPr>
                <w:bCs/>
                <w:color w:val="000000"/>
              </w:rPr>
              <w:t xml:space="preserve"> </w:t>
            </w:r>
            <w:r>
              <w:rPr>
                <w:rFonts w:ascii="Times New Roman" w:hAnsi="Times New Roman" w:cs="Times New Roman"/>
                <w:sz w:val="24"/>
                <w:szCs w:val="24"/>
              </w:rPr>
              <w:t xml:space="preserve">Hasil Analisis Fisikokima Permen </w:t>
            </w:r>
            <w:r w:rsidRPr="00BE3D8A">
              <w:rPr>
                <w:rFonts w:ascii="Times New Roman" w:hAnsi="Times New Roman" w:cs="Times New Roman"/>
                <w:i/>
                <w:sz w:val="24"/>
                <w:szCs w:val="24"/>
              </w:rPr>
              <w:t>Jelly</w:t>
            </w:r>
            <w:r>
              <w:rPr>
                <w:rFonts w:ascii="Times New Roman" w:hAnsi="Times New Roman" w:cs="Times New Roman"/>
                <w:sz w:val="24"/>
                <w:szCs w:val="24"/>
              </w:rPr>
              <w:t xml:space="preserve"> Cempedak</w:t>
            </w:r>
          </w:p>
        </w:tc>
      </w:tr>
      <w:tr w:rsidR="00CE60B0" w:rsidRPr="00CE60B0" w14:paraId="1AB8CE0C" w14:textId="77777777" w:rsidTr="00341926">
        <w:trPr>
          <w:trHeight w:val="222"/>
        </w:trPr>
        <w:tc>
          <w:tcPr>
            <w:tcW w:w="1310" w:type="dxa"/>
            <w:vMerge w:val="restart"/>
            <w:tcBorders>
              <w:top w:val="single" w:sz="8" w:space="0" w:color="auto"/>
              <w:left w:val="nil"/>
              <w:right w:val="nil"/>
            </w:tcBorders>
            <w:vAlign w:val="center"/>
          </w:tcPr>
          <w:p w14:paraId="676F7A58" w14:textId="77777777" w:rsidR="00CE60B0" w:rsidRPr="00CE60B0" w:rsidRDefault="00CE60B0" w:rsidP="00CE60B0">
            <w:pPr>
              <w:jc w:val="center"/>
              <w:rPr>
                <w:bCs/>
                <w:color w:val="000000"/>
                <w:lang w:val="id-ID" w:eastAsia="id-ID"/>
              </w:rPr>
            </w:pPr>
            <w:r w:rsidRPr="00CE60B0">
              <w:rPr>
                <w:bCs/>
                <w:color w:val="000000"/>
                <w:lang w:val="id-ID" w:eastAsia="id-ID"/>
              </w:rPr>
              <w:t>Agar-agar (%)</w:t>
            </w:r>
          </w:p>
        </w:tc>
        <w:tc>
          <w:tcPr>
            <w:tcW w:w="1843" w:type="dxa"/>
            <w:tcBorders>
              <w:top w:val="single" w:sz="8" w:space="0" w:color="auto"/>
              <w:left w:val="nil"/>
              <w:bottom w:val="nil"/>
              <w:right w:val="nil"/>
            </w:tcBorders>
            <w:shd w:val="clear" w:color="auto" w:fill="auto"/>
            <w:vAlign w:val="center"/>
            <w:hideMark/>
          </w:tcPr>
          <w:p w14:paraId="3AB56AA5" w14:textId="77777777" w:rsidR="00CE60B0" w:rsidRPr="00CE60B0" w:rsidRDefault="00CE60B0" w:rsidP="00CE60B0">
            <w:pPr>
              <w:jc w:val="center"/>
              <w:rPr>
                <w:bCs/>
                <w:color w:val="000000"/>
                <w:lang w:val="id-ID" w:eastAsia="id-ID"/>
              </w:rPr>
            </w:pPr>
            <w:r w:rsidRPr="00CE60B0">
              <w:rPr>
                <w:bCs/>
                <w:color w:val="000000"/>
                <w:lang w:val="id-ID" w:eastAsia="id-ID"/>
              </w:rPr>
              <w:t>Kadar Air (%)</w:t>
            </w:r>
          </w:p>
        </w:tc>
        <w:tc>
          <w:tcPr>
            <w:tcW w:w="1842" w:type="dxa"/>
            <w:tcBorders>
              <w:top w:val="single" w:sz="8" w:space="0" w:color="auto"/>
              <w:left w:val="nil"/>
              <w:bottom w:val="nil"/>
              <w:right w:val="nil"/>
            </w:tcBorders>
            <w:shd w:val="clear" w:color="auto" w:fill="auto"/>
            <w:vAlign w:val="center"/>
            <w:hideMark/>
          </w:tcPr>
          <w:p w14:paraId="5CC90C43" w14:textId="77777777" w:rsidR="00CE60B0" w:rsidRPr="00CE60B0" w:rsidRDefault="00CE60B0" w:rsidP="00CE60B0">
            <w:pPr>
              <w:jc w:val="center"/>
              <w:rPr>
                <w:bCs/>
                <w:color w:val="000000"/>
                <w:lang w:val="id-ID" w:eastAsia="id-ID"/>
              </w:rPr>
            </w:pPr>
            <w:r w:rsidRPr="00CE60B0">
              <w:rPr>
                <w:bCs/>
                <w:color w:val="000000"/>
                <w:lang w:val="id-ID" w:eastAsia="id-ID"/>
              </w:rPr>
              <w:t>Kadar Abu (%)</w:t>
            </w:r>
          </w:p>
        </w:tc>
        <w:tc>
          <w:tcPr>
            <w:tcW w:w="2835" w:type="dxa"/>
            <w:tcBorders>
              <w:top w:val="single" w:sz="8" w:space="0" w:color="auto"/>
              <w:left w:val="nil"/>
              <w:bottom w:val="nil"/>
              <w:right w:val="nil"/>
            </w:tcBorders>
            <w:shd w:val="clear" w:color="auto" w:fill="auto"/>
            <w:vAlign w:val="center"/>
            <w:hideMark/>
          </w:tcPr>
          <w:p w14:paraId="27E85BC1" w14:textId="77777777" w:rsidR="00CE60B0" w:rsidRPr="00CE60B0" w:rsidRDefault="00CE60B0" w:rsidP="00CE60B0">
            <w:pPr>
              <w:jc w:val="center"/>
              <w:rPr>
                <w:bCs/>
                <w:color w:val="000000"/>
                <w:lang w:val="id-ID" w:eastAsia="id-ID"/>
              </w:rPr>
            </w:pPr>
            <w:r w:rsidRPr="00CE60B0">
              <w:rPr>
                <w:bCs/>
                <w:color w:val="000000"/>
                <w:lang w:val="id-ID" w:eastAsia="id-ID"/>
              </w:rPr>
              <w:t>Total Padatan Terlarut (</w:t>
            </w:r>
            <w:r w:rsidRPr="00CE60B0">
              <w:rPr>
                <w:bCs/>
                <w:color w:val="000000"/>
                <w:vertAlign w:val="superscript"/>
                <w:lang w:val="id-ID" w:eastAsia="id-ID"/>
              </w:rPr>
              <w:t>0</w:t>
            </w:r>
            <w:r w:rsidRPr="00CE60B0">
              <w:rPr>
                <w:bCs/>
                <w:color w:val="000000"/>
                <w:lang w:val="id-ID" w:eastAsia="id-ID"/>
              </w:rPr>
              <w:t>brix)</w:t>
            </w:r>
          </w:p>
        </w:tc>
      </w:tr>
      <w:tr w:rsidR="00CE60B0" w:rsidRPr="00CE60B0" w14:paraId="73102DA6" w14:textId="77777777" w:rsidTr="00341926">
        <w:trPr>
          <w:trHeight w:val="275"/>
        </w:trPr>
        <w:tc>
          <w:tcPr>
            <w:tcW w:w="1310" w:type="dxa"/>
            <w:vMerge/>
            <w:tcBorders>
              <w:left w:val="nil"/>
              <w:bottom w:val="single" w:sz="8" w:space="0" w:color="auto"/>
              <w:right w:val="nil"/>
            </w:tcBorders>
          </w:tcPr>
          <w:p w14:paraId="3EC55529" w14:textId="77777777" w:rsidR="00CE60B0" w:rsidRPr="00CE60B0" w:rsidRDefault="00CE60B0" w:rsidP="00CE60B0">
            <w:pPr>
              <w:jc w:val="center"/>
              <w:rPr>
                <w:bCs/>
                <w:color w:val="000000"/>
                <w:lang w:val="id-ID" w:eastAsia="id-ID"/>
              </w:rPr>
            </w:pPr>
          </w:p>
        </w:tc>
        <w:tc>
          <w:tcPr>
            <w:tcW w:w="1843" w:type="dxa"/>
            <w:tcBorders>
              <w:top w:val="nil"/>
              <w:left w:val="nil"/>
              <w:bottom w:val="single" w:sz="8" w:space="0" w:color="auto"/>
              <w:right w:val="nil"/>
            </w:tcBorders>
            <w:shd w:val="clear" w:color="auto" w:fill="auto"/>
            <w:vAlign w:val="center"/>
            <w:hideMark/>
          </w:tcPr>
          <w:p w14:paraId="3360E594" w14:textId="77777777" w:rsidR="00CE60B0" w:rsidRPr="00CE60B0" w:rsidRDefault="00CE60B0" w:rsidP="00CE60B0">
            <w:pPr>
              <w:jc w:val="center"/>
              <w:rPr>
                <w:bCs/>
                <w:color w:val="000000"/>
                <w:lang w:val="id-ID" w:eastAsia="id-ID"/>
              </w:rPr>
            </w:pPr>
            <w:r w:rsidRPr="00CE60B0">
              <w:rPr>
                <w:bCs/>
                <w:color w:val="000000"/>
                <w:lang w:val="id-ID" w:eastAsia="id-ID"/>
              </w:rPr>
              <w:t>(Rerata±SD)</w:t>
            </w:r>
          </w:p>
        </w:tc>
        <w:tc>
          <w:tcPr>
            <w:tcW w:w="1842" w:type="dxa"/>
            <w:tcBorders>
              <w:top w:val="nil"/>
              <w:left w:val="nil"/>
              <w:bottom w:val="single" w:sz="8" w:space="0" w:color="auto"/>
              <w:right w:val="nil"/>
            </w:tcBorders>
            <w:shd w:val="clear" w:color="auto" w:fill="auto"/>
            <w:vAlign w:val="center"/>
            <w:hideMark/>
          </w:tcPr>
          <w:p w14:paraId="275436E2" w14:textId="77777777" w:rsidR="00CE60B0" w:rsidRPr="00CE60B0" w:rsidRDefault="00CE60B0" w:rsidP="00CE60B0">
            <w:pPr>
              <w:jc w:val="center"/>
              <w:rPr>
                <w:bCs/>
                <w:color w:val="000000"/>
                <w:lang w:val="id-ID" w:eastAsia="id-ID"/>
              </w:rPr>
            </w:pPr>
            <w:r w:rsidRPr="00CE60B0">
              <w:rPr>
                <w:bCs/>
                <w:color w:val="000000"/>
                <w:lang w:val="id-ID" w:eastAsia="id-ID"/>
              </w:rPr>
              <w:t>(Rerata±SD)</w:t>
            </w:r>
          </w:p>
        </w:tc>
        <w:tc>
          <w:tcPr>
            <w:tcW w:w="2835" w:type="dxa"/>
            <w:tcBorders>
              <w:top w:val="nil"/>
              <w:left w:val="nil"/>
              <w:bottom w:val="single" w:sz="8" w:space="0" w:color="auto"/>
              <w:right w:val="nil"/>
            </w:tcBorders>
            <w:shd w:val="clear" w:color="auto" w:fill="auto"/>
            <w:vAlign w:val="center"/>
            <w:hideMark/>
          </w:tcPr>
          <w:p w14:paraId="64CA46F4" w14:textId="77777777" w:rsidR="00CE60B0" w:rsidRPr="00CE60B0" w:rsidRDefault="00CE60B0" w:rsidP="00CE60B0">
            <w:pPr>
              <w:jc w:val="center"/>
              <w:rPr>
                <w:bCs/>
                <w:color w:val="000000"/>
                <w:lang w:val="id-ID" w:eastAsia="id-ID"/>
              </w:rPr>
            </w:pPr>
            <w:r w:rsidRPr="00CE60B0">
              <w:rPr>
                <w:bCs/>
                <w:color w:val="000000"/>
                <w:lang w:val="id-ID" w:eastAsia="id-ID"/>
              </w:rPr>
              <w:t>(Rerata±SD)</w:t>
            </w:r>
          </w:p>
        </w:tc>
      </w:tr>
      <w:tr w:rsidR="007035E5" w:rsidRPr="00CE60B0" w14:paraId="6D3687CC" w14:textId="77777777" w:rsidTr="004B39FC">
        <w:trPr>
          <w:trHeight w:val="220"/>
        </w:trPr>
        <w:tc>
          <w:tcPr>
            <w:tcW w:w="1310" w:type="dxa"/>
            <w:tcBorders>
              <w:top w:val="nil"/>
              <w:left w:val="nil"/>
              <w:bottom w:val="nil"/>
              <w:right w:val="nil"/>
            </w:tcBorders>
          </w:tcPr>
          <w:p w14:paraId="4EB43BE7" w14:textId="77777777" w:rsidR="007035E5" w:rsidRPr="00CE60B0" w:rsidRDefault="007035E5" w:rsidP="007035E5">
            <w:pPr>
              <w:jc w:val="center"/>
              <w:rPr>
                <w:color w:val="000000"/>
                <w:lang w:val="id-ID" w:eastAsia="id-ID"/>
              </w:rPr>
            </w:pPr>
            <w:r w:rsidRPr="00CE60B0">
              <w:rPr>
                <w:color w:val="000000"/>
                <w:lang w:val="id-ID" w:eastAsia="id-ID"/>
              </w:rPr>
              <w:t>1</w:t>
            </w:r>
          </w:p>
        </w:tc>
        <w:tc>
          <w:tcPr>
            <w:tcW w:w="1843" w:type="dxa"/>
            <w:tcBorders>
              <w:top w:val="nil"/>
              <w:left w:val="nil"/>
              <w:bottom w:val="nil"/>
              <w:right w:val="nil"/>
            </w:tcBorders>
            <w:shd w:val="clear" w:color="auto" w:fill="auto"/>
            <w:vAlign w:val="center"/>
            <w:hideMark/>
          </w:tcPr>
          <w:p w14:paraId="736AFDD5" w14:textId="2788BE37" w:rsidR="007035E5" w:rsidRPr="00CE60B0" w:rsidRDefault="007035E5" w:rsidP="007035E5">
            <w:pPr>
              <w:rPr>
                <w:color w:val="000000"/>
                <w:lang w:val="id-ID" w:eastAsia="id-ID"/>
              </w:rPr>
            </w:pPr>
            <w:r>
              <w:rPr>
                <w:color w:val="000000"/>
                <w:lang w:val="id-ID"/>
              </w:rPr>
              <w:t xml:space="preserve">  </w:t>
            </w:r>
            <w:r w:rsidRPr="000A6BBE">
              <w:rPr>
                <w:color w:val="000000"/>
              </w:rPr>
              <w:t>11,61</w:t>
            </w:r>
            <w:r w:rsidRPr="000A6BBE">
              <w:rPr>
                <w:color w:val="000000"/>
                <w:vertAlign w:val="superscript"/>
              </w:rPr>
              <w:t xml:space="preserve">a   </w:t>
            </w:r>
            <w:r>
              <w:rPr>
                <w:color w:val="000000"/>
                <w:vertAlign w:val="superscript"/>
                <w:lang w:val="id-ID"/>
              </w:rPr>
              <w:t xml:space="preserve">  </w:t>
            </w:r>
            <w:r w:rsidRPr="000A6BBE">
              <w:t xml:space="preserve">± </w:t>
            </w:r>
            <w:r>
              <w:rPr>
                <w:lang w:val="id-ID"/>
              </w:rPr>
              <w:t>0</w:t>
            </w:r>
            <w:r w:rsidRPr="000A6BBE">
              <w:t>,95</w:t>
            </w:r>
          </w:p>
        </w:tc>
        <w:tc>
          <w:tcPr>
            <w:tcW w:w="1842" w:type="dxa"/>
            <w:tcBorders>
              <w:top w:val="nil"/>
              <w:left w:val="nil"/>
              <w:bottom w:val="nil"/>
              <w:right w:val="nil"/>
            </w:tcBorders>
            <w:shd w:val="clear" w:color="auto" w:fill="auto"/>
            <w:vAlign w:val="center"/>
            <w:hideMark/>
          </w:tcPr>
          <w:p w14:paraId="6A98CA50" w14:textId="7733A354" w:rsidR="007035E5" w:rsidRPr="00CE60B0" w:rsidRDefault="007035E5" w:rsidP="007035E5">
            <w:pPr>
              <w:jc w:val="center"/>
              <w:rPr>
                <w:color w:val="000000"/>
                <w:lang w:val="id-ID" w:eastAsia="id-ID"/>
              </w:rPr>
            </w:pPr>
            <w:r w:rsidRPr="000A6BBE">
              <w:rPr>
                <w:color w:val="000000"/>
              </w:rPr>
              <w:t>0,20</w:t>
            </w:r>
            <w:r w:rsidRPr="000A6BBE">
              <w:rPr>
                <w:color w:val="000000"/>
                <w:vertAlign w:val="superscript"/>
              </w:rPr>
              <w:t>a</w:t>
            </w:r>
            <w:r w:rsidRPr="000A6BBE">
              <w:rPr>
                <w:color w:val="000000"/>
              </w:rPr>
              <w:t xml:space="preserve">   </w:t>
            </w:r>
            <w:r w:rsidRPr="000A6BBE">
              <w:t>±</w:t>
            </w:r>
            <w:r w:rsidRPr="000A6BBE">
              <w:rPr>
                <w:color w:val="000000"/>
              </w:rPr>
              <w:t xml:space="preserve"> 0,09</w:t>
            </w:r>
          </w:p>
        </w:tc>
        <w:tc>
          <w:tcPr>
            <w:tcW w:w="2835" w:type="dxa"/>
            <w:tcBorders>
              <w:top w:val="nil"/>
              <w:left w:val="nil"/>
              <w:bottom w:val="nil"/>
              <w:right w:val="nil"/>
            </w:tcBorders>
            <w:shd w:val="clear" w:color="auto" w:fill="auto"/>
            <w:vAlign w:val="bottom"/>
            <w:hideMark/>
          </w:tcPr>
          <w:p w14:paraId="02965BAC" w14:textId="78692F74" w:rsidR="007035E5" w:rsidRPr="00CE60B0" w:rsidRDefault="007035E5" w:rsidP="007035E5">
            <w:pPr>
              <w:jc w:val="center"/>
              <w:rPr>
                <w:color w:val="000000"/>
                <w:lang w:val="id-ID" w:eastAsia="id-ID"/>
              </w:rPr>
            </w:pPr>
            <w:r w:rsidRPr="001F5B02">
              <w:rPr>
                <w:color w:val="000000"/>
              </w:rPr>
              <w:t>23,20</w:t>
            </w:r>
            <w:r w:rsidRPr="001F5B02">
              <w:rPr>
                <w:color w:val="000000"/>
                <w:vertAlign w:val="superscript"/>
              </w:rPr>
              <w:t>a</w:t>
            </w:r>
            <w:r w:rsidRPr="001F5B02">
              <w:rPr>
                <w:color w:val="000000"/>
              </w:rPr>
              <w:t xml:space="preserve">   </w:t>
            </w:r>
            <w:r w:rsidRPr="001F5B02">
              <w:t>± 2,61</w:t>
            </w:r>
          </w:p>
        </w:tc>
      </w:tr>
      <w:tr w:rsidR="007035E5" w:rsidRPr="00CE60B0" w14:paraId="548DAEF6" w14:textId="77777777" w:rsidTr="004B39FC">
        <w:trPr>
          <w:trHeight w:val="244"/>
        </w:trPr>
        <w:tc>
          <w:tcPr>
            <w:tcW w:w="1310" w:type="dxa"/>
            <w:tcBorders>
              <w:top w:val="nil"/>
              <w:left w:val="nil"/>
              <w:bottom w:val="nil"/>
              <w:right w:val="nil"/>
            </w:tcBorders>
          </w:tcPr>
          <w:p w14:paraId="60048808" w14:textId="77777777" w:rsidR="007035E5" w:rsidRPr="00CE60B0" w:rsidRDefault="007035E5" w:rsidP="007035E5">
            <w:pPr>
              <w:jc w:val="center"/>
              <w:rPr>
                <w:color w:val="000000"/>
                <w:lang w:val="id-ID" w:eastAsia="id-ID"/>
              </w:rPr>
            </w:pPr>
            <w:r w:rsidRPr="00CE60B0">
              <w:rPr>
                <w:color w:val="000000"/>
                <w:lang w:val="id-ID" w:eastAsia="id-ID"/>
              </w:rPr>
              <w:t>2</w:t>
            </w:r>
          </w:p>
        </w:tc>
        <w:tc>
          <w:tcPr>
            <w:tcW w:w="1843" w:type="dxa"/>
            <w:tcBorders>
              <w:top w:val="nil"/>
              <w:left w:val="nil"/>
              <w:bottom w:val="nil"/>
              <w:right w:val="nil"/>
            </w:tcBorders>
            <w:shd w:val="clear" w:color="auto" w:fill="auto"/>
            <w:vAlign w:val="center"/>
            <w:hideMark/>
          </w:tcPr>
          <w:p w14:paraId="28E37C8A" w14:textId="556E736B" w:rsidR="007035E5" w:rsidRPr="00CE60B0" w:rsidRDefault="007035E5" w:rsidP="007035E5">
            <w:pPr>
              <w:jc w:val="center"/>
              <w:rPr>
                <w:color w:val="000000"/>
                <w:lang w:val="id-ID" w:eastAsia="id-ID"/>
              </w:rPr>
            </w:pPr>
            <w:r w:rsidRPr="000A6BBE">
              <w:rPr>
                <w:color w:val="000000"/>
              </w:rPr>
              <w:t>12,12</w:t>
            </w:r>
            <w:proofErr w:type="gramStart"/>
            <w:r w:rsidRPr="000A6BBE">
              <w:rPr>
                <w:color w:val="000000"/>
                <w:vertAlign w:val="superscript"/>
              </w:rPr>
              <w:t>ab</w:t>
            </w:r>
            <w:r w:rsidRPr="000A6BBE">
              <w:rPr>
                <w:color w:val="000000"/>
              </w:rPr>
              <w:t xml:space="preserve">  </w:t>
            </w:r>
            <w:r w:rsidRPr="000A6BBE">
              <w:t>±</w:t>
            </w:r>
            <w:proofErr w:type="gramEnd"/>
            <w:r w:rsidRPr="000A6BBE">
              <w:t xml:space="preserve"> 0,51</w:t>
            </w:r>
          </w:p>
        </w:tc>
        <w:tc>
          <w:tcPr>
            <w:tcW w:w="1842" w:type="dxa"/>
            <w:tcBorders>
              <w:top w:val="nil"/>
              <w:left w:val="nil"/>
              <w:bottom w:val="nil"/>
              <w:right w:val="nil"/>
            </w:tcBorders>
            <w:shd w:val="clear" w:color="auto" w:fill="auto"/>
            <w:vAlign w:val="center"/>
            <w:hideMark/>
          </w:tcPr>
          <w:p w14:paraId="3A2D879C" w14:textId="105B230B" w:rsidR="007035E5" w:rsidRPr="00CE60B0" w:rsidRDefault="007035E5" w:rsidP="007035E5">
            <w:pPr>
              <w:jc w:val="center"/>
              <w:rPr>
                <w:color w:val="000000"/>
                <w:lang w:val="id-ID" w:eastAsia="id-ID"/>
              </w:rPr>
            </w:pPr>
            <w:r w:rsidRPr="000A6BBE">
              <w:rPr>
                <w:color w:val="000000"/>
              </w:rPr>
              <w:t>0,25</w:t>
            </w:r>
            <w:proofErr w:type="gramStart"/>
            <w:r w:rsidRPr="000A6BBE">
              <w:rPr>
                <w:color w:val="000000"/>
                <w:vertAlign w:val="superscript"/>
              </w:rPr>
              <w:t>a</w:t>
            </w:r>
            <w:r>
              <w:rPr>
                <w:color w:val="000000"/>
                <w:vertAlign w:val="superscript"/>
              </w:rPr>
              <w:t>b</w:t>
            </w:r>
            <w:r w:rsidRPr="000A6BBE">
              <w:rPr>
                <w:color w:val="000000"/>
              </w:rPr>
              <w:t xml:space="preserve">  </w:t>
            </w:r>
            <w:r w:rsidRPr="000A6BBE">
              <w:t>±</w:t>
            </w:r>
            <w:proofErr w:type="gramEnd"/>
            <w:r w:rsidRPr="000A6BBE">
              <w:t xml:space="preserve"> 0,05</w:t>
            </w:r>
          </w:p>
        </w:tc>
        <w:tc>
          <w:tcPr>
            <w:tcW w:w="2835" w:type="dxa"/>
            <w:tcBorders>
              <w:top w:val="nil"/>
              <w:left w:val="nil"/>
              <w:bottom w:val="nil"/>
              <w:right w:val="nil"/>
            </w:tcBorders>
            <w:shd w:val="clear" w:color="auto" w:fill="auto"/>
            <w:vAlign w:val="bottom"/>
            <w:hideMark/>
          </w:tcPr>
          <w:p w14:paraId="7FB83E77" w14:textId="38B3DCD7" w:rsidR="007035E5" w:rsidRPr="00CE60B0" w:rsidRDefault="007035E5" w:rsidP="007035E5">
            <w:pPr>
              <w:jc w:val="center"/>
              <w:rPr>
                <w:color w:val="000000"/>
                <w:lang w:val="id-ID" w:eastAsia="id-ID"/>
              </w:rPr>
            </w:pPr>
            <w:r w:rsidRPr="001F5B02">
              <w:rPr>
                <w:color w:val="000000"/>
              </w:rPr>
              <w:t>25,13</w:t>
            </w:r>
            <w:proofErr w:type="gramStart"/>
            <w:r w:rsidRPr="001F5B02">
              <w:rPr>
                <w:color w:val="000000"/>
                <w:vertAlign w:val="superscript"/>
              </w:rPr>
              <w:t>a</w:t>
            </w:r>
            <w:r>
              <w:rPr>
                <w:color w:val="000000"/>
                <w:vertAlign w:val="superscript"/>
              </w:rPr>
              <w:t>b</w:t>
            </w:r>
            <w:r w:rsidRPr="001F5B02">
              <w:rPr>
                <w:color w:val="000000"/>
              </w:rPr>
              <w:t xml:space="preserve">  </w:t>
            </w:r>
            <w:r w:rsidRPr="001F5B02">
              <w:t>±</w:t>
            </w:r>
            <w:proofErr w:type="gramEnd"/>
            <w:r w:rsidRPr="001F5B02">
              <w:t xml:space="preserve"> 1,23</w:t>
            </w:r>
          </w:p>
        </w:tc>
      </w:tr>
      <w:tr w:rsidR="007035E5" w:rsidRPr="00CE60B0" w14:paraId="48F2E5C1" w14:textId="77777777" w:rsidTr="004B39FC">
        <w:trPr>
          <w:trHeight w:val="233"/>
        </w:trPr>
        <w:tc>
          <w:tcPr>
            <w:tcW w:w="1310" w:type="dxa"/>
            <w:tcBorders>
              <w:top w:val="nil"/>
              <w:left w:val="nil"/>
              <w:bottom w:val="nil"/>
              <w:right w:val="nil"/>
            </w:tcBorders>
          </w:tcPr>
          <w:p w14:paraId="5A7DF213" w14:textId="77777777" w:rsidR="007035E5" w:rsidRPr="00CE60B0" w:rsidRDefault="007035E5" w:rsidP="007035E5">
            <w:pPr>
              <w:jc w:val="center"/>
              <w:rPr>
                <w:color w:val="000000"/>
                <w:lang w:val="id-ID" w:eastAsia="id-ID"/>
              </w:rPr>
            </w:pPr>
            <w:r w:rsidRPr="00CE60B0">
              <w:rPr>
                <w:color w:val="000000"/>
                <w:lang w:val="id-ID" w:eastAsia="id-ID"/>
              </w:rPr>
              <w:t>3</w:t>
            </w:r>
          </w:p>
        </w:tc>
        <w:tc>
          <w:tcPr>
            <w:tcW w:w="1843" w:type="dxa"/>
            <w:tcBorders>
              <w:top w:val="nil"/>
              <w:left w:val="nil"/>
              <w:bottom w:val="nil"/>
              <w:right w:val="nil"/>
            </w:tcBorders>
            <w:shd w:val="clear" w:color="auto" w:fill="auto"/>
            <w:vAlign w:val="center"/>
            <w:hideMark/>
          </w:tcPr>
          <w:p w14:paraId="2CBCB385" w14:textId="28FFA63B" w:rsidR="007035E5" w:rsidRPr="00CE60B0" w:rsidRDefault="007035E5" w:rsidP="007035E5">
            <w:pPr>
              <w:jc w:val="center"/>
              <w:rPr>
                <w:color w:val="000000"/>
                <w:lang w:val="id-ID" w:eastAsia="id-ID"/>
              </w:rPr>
            </w:pPr>
            <w:r w:rsidRPr="000A6BBE">
              <w:rPr>
                <w:color w:val="000000"/>
              </w:rPr>
              <w:t>12,48</w:t>
            </w:r>
            <w:proofErr w:type="gramStart"/>
            <w:r w:rsidRPr="000A6BBE">
              <w:rPr>
                <w:color w:val="000000"/>
                <w:vertAlign w:val="superscript"/>
              </w:rPr>
              <w:t>bc</w:t>
            </w:r>
            <w:r w:rsidRPr="000A6BBE">
              <w:rPr>
                <w:color w:val="000000"/>
              </w:rPr>
              <w:t xml:space="preserve">  </w:t>
            </w:r>
            <w:r w:rsidRPr="000A6BBE">
              <w:t>±</w:t>
            </w:r>
            <w:proofErr w:type="gramEnd"/>
            <w:r w:rsidRPr="000A6BBE">
              <w:t xml:space="preserve"> 0,76</w:t>
            </w:r>
          </w:p>
        </w:tc>
        <w:tc>
          <w:tcPr>
            <w:tcW w:w="1842" w:type="dxa"/>
            <w:tcBorders>
              <w:top w:val="nil"/>
              <w:left w:val="nil"/>
              <w:bottom w:val="nil"/>
              <w:right w:val="nil"/>
            </w:tcBorders>
            <w:shd w:val="clear" w:color="auto" w:fill="auto"/>
            <w:vAlign w:val="center"/>
            <w:hideMark/>
          </w:tcPr>
          <w:p w14:paraId="5E3FCF61" w14:textId="50384960" w:rsidR="007035E5" w:rsidRPr="00CE60B0" w:rsidRDefault="007035E5" w:rsidP="007035E5">
            <w:pPr>
              <w:jc w:val="center"/>
              <w:rPr>
                <w:color w:val="000000"/>
                <w:lang w:val="id-ID" w:eastAsia="id-ID"/>
              </w:rPr>
            </w:pPr>
            <w:r w:rsidRPr="000A6BBE">
              <w:rPr>
                <w:color w:val="000000"/>
              </w:rPr>
              <w:t>0,29</w:t>
            </w:r>
            <w:proofErr w:type="gramStart"/>
            <w:r w:rsidRPr="000A6BBE">
              <w:rPr>
                <w:color w:val="000000"/>
                <w:vertAlign w:val="superscript"/>
              </w:rPr>
              <w:t>b</w:t>
            </w:r>
            <w:r>
              <w:rPr>
                <w:color w:val="000000"/>
                <w:vertAlign w:val="superscript"/>
              </w:rPr>
              <w:t>c</w:t>
            </w:r>
            <w:r w:rsidRPr="000A6BBE">
              <w:rPr>
                <w:color w:val="000000"/>
              </w:rPr>
              <w:t xml:space="preserve">  </w:t>
            </w:r>
            <w:r w:rsidRPr="000A6BBE">
              <w:t>±</w:t>
            </w:r>
            <w:proofErr w:type="gramEnd"/>
            <w:r w:rsidRPr="000A6BBE">
              <w:t xml:space="preserve"> 0,05</w:t>
            </w:r>
          </w:p>
        </w:tc>
        <w:tc>
          <w:tcPr>
            <w:tcW w:w="2835" w:type="dxa"/>
            <w:tcBorders>
              <w:top w:val="nil"/>
              <w:left w:val="nil"/>
              <w:bottom w:val="nil"/>
              <w:right w:val="nil"/>
            </w:tcBorders>
            <w:shd w:val="clear" w:color="auto" w:fill="auto"/>
            <w:vAlign w:val="bottom"/>
            <w:hideMark/>
          </w:tcPr>
          <w:p w14:paraId="5103A2D0" w14:textId="1CFC4720" w:rsidR="007035E5" w:rsidRPr="00CE60B0" w:rsidRDefault="007035E5" w:rsidP="007035E5">
            <w:pPr>
              <w:jc w:val="center"/>
              <w:rPr>
                <w:color w:val="000000"/>
                <w:lang w:val="id-ID" w:eastAsia="id-ID"/>
              </w:rPr>
            </w:pPr>
            <w:r w:rsidRPr="001F5B02">
              <w:rPr>
                <w:color w:val="000000"/>
              </w:rPr>
              <w:t>25,80</w:t>
            </w:r>
            <w:proofErr w:type="gramStart"/>
            <w:r w:rsidRPr="001F5B02">
              <w:rPr>
                <w:color w:val="000000"/>
                <w:vertAlign w:val="superscript"/>
              </w:rPr>
              <w:t>b</w:t>
            </w:r>
            <w:r>
              <w:rPr>
                <w:color w:val="000000"/>
                <w:vertAlign w:val="superscript"/>
              </w:rPr>
              <w:t>c</w:t>
            </w:r>
            <w:r w:rsidRPr="001F5B02">
              <w:rPr>
                <w:color w:val="000000"/>
              </w:rPr>
              <w:t xml:space="preserve">  </w:t>
            </w:r>
            <w:r w:rsidRPr="001F5B02">
              <w:t>±</w:t>
            </w:r>
            <w:proofErr w:type="gramEnd"/>
            <w:r w:rsidRPr="001F5B02">
              <w:t xml:space="preserve"> 2,16</w:t>
            </w:r>
          </w:p>
        </w:tc>
      </w:tr>
      <w:tr w:rsidR="007035E5" w:rsidRPr="00CE60B0" w14:paraId="02C6E394" w14:textId="77777777" w:rsidTr="004B39FC">
        <w:trPr>
          <w:trHeight w:val="252"/>
        </w:trPr>
        <w:tc>
          <w:tcPr>
            <w:tcW w:w="1310" w:type="dxa"/>
            <w:tcBorders>
              <w:top w:val="nil"/>
              <w:left w:val="nil"/>
              <w:bottom w:val="nil"/>
              <w:right w:val="nil"/>
            </w:tcBorders>
          </w:tcPr>
          <w:p w14:paraId="2965039E" w14:textId="77777777" w:rsidR="007035E5" w:rsidRPr="00CE60B0" w:rsidRDefault="007035E5" w:rsidP="007035E5">
            <w:pPr>
              <w:jc w:val="center"/>
              <w:rPr>
                <w:color w:val="000000"/>
                <w:lang w:val="id-ID" w:eastAsia="id-ID"/>
              </w:rPr>
            </w:pPr>
            <w:r w:rsidRPr="00CE60B0">
              <w:rPr>
                <w:color w:val="000000"/>
                <w:lang w:val="id-ID" w:eastAsia="id-ID"/>
              </w:rPr>
              <w:t>4</w:t>
            </w:r>
          </w:p>
        </w:tc>
        <w:tc>
          <w:tcPr>
            <w:tcW w:w="1843" w:type="dxa"/>
            <w:tcBorders>
              <w:top w:val="nil"/>
              <w:left w:val="nil"/>
              <w:bottom w:val="nil"/>
              <w:right w:val="nil"/>
            </w:tcBorders>
            <w:shd w:val="clear" w:color="auto" w:fill="auto"/>
            <w:vAlign w:val="center"/>
            <w:hideMark/>
          </w:tcPr>
          <w:p w14:paraId="23488A75" w14:textId="718BDD5A" w:rsidR="007035E5" w:rsidRPr="00CE60B0" w:rsidRDefault="007035E5" w:rsidP="007035E5">
            <w:pPr>
              <w:jc w:val="center"/>
              <w:rPr>
                <w:color w:val="000000"/>
                <w:lang w:val="id-ID" w:eastAsia="id-ID"/>
              </w:rPr>
            </w:pPr>
            <w:r w:rsidRPr="000A6BBE">
              <w:rPr>
                <w:color w:val="000000"/>
              </w:rPr>
              <w:t>12,66</w:t>
            </w:r>
            <w:r>
              <w:rPr>
                <w:color w:val="000000"/>
                <w:vertAlign w:val="superscript"/>
              </w:rPr>
              <w:t>bc</w:t>
            </w:r>
            <w:r w:rsidRPr="000A6BBE">
              <w:rPr>
                <w:color w:val="000000"/>
                <w:vertAlign w:val="superscript"/>
              </w:rPr>
              <w:t>d</w:t>
            </w:r>
            <w:r w:rsidRPr="000A6BBE">
              <w:rPr>
                <w:color w:val="000000"/>
              </w:rPr>
              <w:t xml:space="preserve"> </w:t>
            </w:r>
            <w:r w:rsidRPr="000A6BBE">
              <w:t>± 0,81</w:t>
            </w:r>
          </w:p>
        </w:tc>
        <w:tc>
          <w:tcPr>
            <w:tcW w:w="1842" w:type="dxa"/>
            <w:tcBorders>
              <w:top w:val="nil"/>
              <w:left w:val="nil"/>
              <w:bottom w:val="nil"/>
              <w:right w:val="nil"/>
            </w:tcBorders>
            <w:shd w:val="clear" w:color="auto" w:fill="auto"/>
            <w:vAlign w:val="center"/>
            <w:hideMark/>
          </w:tcPr>
          <w:p w14:paraId="30F47DFA" w14:textId="0116AF21" w:rsidR="007035E5" w:rsidRPr="00CE60B0" w:rsidRDefault="007035E5" w:rsidP="007035E5">
            <w:pPr>
              <w:jc w:val="center"/>
              <w:rPr>
                <w:color w:val="000000"/>
                <w:lang w:val="id-ID" w:eastAsia="id-ID"/>
              </w:rPr>
            </w:pPr>
            <w:r w:rsidRPr="000A6BBE">
              <w:rPr>
                <w:color w:val="000000"/>
              </w:rPr>
              <w:t>0,31</w:t>
            </w:r>
            <w:r w:rsidRPr="000A6BBE">
              <w:rPr>
                <w:color w:val="000000"/>
                <w:vertAlign w:val="superscript"/>
              </w:rPr>
              <w:t>bcd</w:t>
            </w:r>
            <w:r w:rsidRPr="000A6BBE">
              <w:rPr>
                <w:color w:val="000000"/>
              </w:rPr>
              <w:t xml:space="preserve"> </w:t>
            </w:r>
            <w:r w:rsidRPr="000A6BBE">
              <w:t>± 0,01</w:t>
            </w:r>
          </w:p>
        </w:tc>
        <w:tc>
          <w:tcPr>
            <w:tcW w:w="2835" w:type="dxa"/>
            <w:tcBorders>
              <w:top w:val="nil"/>
              <w:left w:val="nil"/>
              <w:bottom w:val="nil"/>
              <w:right w:val="nil"/>
            </w:tcBorders>
            <w:shd w:val="clear" w:color="auto" w:fill="auto"/>
            <w:vAlign w:val="bottom"/>
            <w:hideMark/>
          </w:tcPr>
          <w:p w14:paraId="2E91A0A2" w14:textId="053793F3" w:rsidR="007035E5" w:rsidRPr="00CE60B0" w:rsidRDefault="007035E5" w:rsidP="007035E5">
            <w:pPr>
              <w:jc w:val="center"/>
              <w:rPr>
                <w:color w:val="000000"/>
                <w:lang w:val="id-ID" w:eastAsia="id-ID"/>
              </w:rPr>
            </w:pPr>
            <w:r w:rsidRPr="001F5B02">
              <w:rPr>
                <w:color w:val="000000"/>
              </w:rPr>
              <w:t>26,53</w:t>
            </w:r>
            <w:r w:rsidRPr="001F5B02">
              <w:rPr>
                <w:color w:val="000000"/>
                <w:vertAlign w:val="superscript"/>
              </w:rPr>
              <w:t>bc</w:t>
            </w:r>
            <w:r>
              <w:rPr>
                <w:color w:val="000000"/>
                <w:vertAlign w:val="superscript"/>
              </w:rPr>
              <w:t>d</w:t>
            </w:r>
            <w:r w:rsidRPr="001F5B02">
              <w:t xml:space="preserve"> ± 1,76</w:t>
            </w:r>
          </w:p>
        </w:tc>
      </w:tr>
      <w:tr w:rsidR="007035E5" w:rsidRPr="00CE60B0" w14:paraId="2442520D" w14:textId="77777777" w:rsidTr="004B39FC">
        <w:trPr>
          <w:trHeight w:val="270"/>
        </w:trPr>
        <w:tc>
          <w:tcPr>
            <w:tcW w:w="1310" w:type="dxa"/>
            <w:tcBorders>
              <w:top w:val="nil"/>
              <w:left w:val="nil"/>
              <w:bottom w:val="nil"/>
              <w:right w:val="nil"/>
            </w:tcBorders>
          </w:tcPr>
          <w:p w14:paraId="23156774" w14:textId="77777777" w:rsidR="007035E5" w:rsidRPr="00CE60B0" w:rsidRDefault="007035E5" w:rsidP="007035E5">
            <w:pPr>
              <w:jc w:val="center"/>
              <w:rPr>
                <w:color w:val="000000"/>
                <w:lang w:val="id-ID" w:eastAsia="id-ID"/>
              </w:rPr>
            </w:pPr>
            <w:r w:rsidRPr="00CE60B0">
              <w:rPr>
                <w:color w:val="000000"/>
                <w:lang w:val="id-ID" w:eastAsia="id-ID"/>
              </w:rPr>
              <w:t>5</w:t>
            </w:r>
          </w:p>
        </w:tc>
        <w:tc>
          <w:tcPr>
            <w:tcW w:w="1843" w:type="dxa"/>
            <w:tcBorders>
              <w:top w:val="nil"/>
              <w:left w:val="nil"/>
              <w:bottom w:val="nil"/>
              <w:right w:val="nil"/>
            </w:tcBorders>
            <w:shd w:val="clear" w:color="auto" w:fill="auto"/>
            <w:vAlign w:val="center"/>
            <w:hideMark/>
          </w:tcPr>
          <w:p w14:paraId="072E99F3" w14:textId="2A5E8646" w:rsidR="007035E5" w:rsidRPr="00CE60B0" w:rsidRDefault="007035E5" w:rsidP="007035E5">
            <w:pPr>
              <w:jc w:val="center"/>
              <w:rPr>
                <w:color w:val="000000"/>
                <w:lang w:val="id-ID" w:eastAsia="id-ID"/>
              </w:rPr>
            </w:pPr>
            <w:r w:rsidRPr="000A6BBE">
              <w:rPr>
                <w:color w:val="000000"/>
              </w:rPr>
              <w:t>12,89</w:t>
            </w:r>
            <w:proofErr w:type="gramStart"/>
            <w:r>
              <w:rPr>
                <w:color w:val="000000"/>
                <w:vertAlign w:val="superscript"/>
              </w:rPr>
              <w:t>cd</w:t>
            </w:r>
            <w:r w:rsidRPr="000A6BBE">
              <w:rPr>
                <w:color w:val="000000"/>
              </w:rPr>
              <w:t xml:space="preserve">  </w:t>
            </w:r>
            <w:r w:rsidRPr="000A6BBE">
              <w:t>±</w:t>
            </w:r>
            <w:proofErr w:type="gramEnd"/>
            <w:r w:rsidRPr="000A6BBE">
              <w:t xml:space="preserve"> 0,75</w:t>
            </w:r>
          </w:p>
        </w:tc>
        <w:tc>
          <w:tcPr>
            <w:tcW w:w="1842" w:type="dxa"/>
            <w:tcBorders>
              <w:top w:val="nil"/>
              <w:left w:val="nil"/>
              <w:bottom w:val="nil"/>
              <w:right w:val="nil"/>
            </w:tcBorders>
            <w:shd w:val="clear" w:color="auto" w:fill="auto"/>
            <w:vAlign w:val="center"/>
            <w:hideMark/>
          </w:tcPr>
          <w:p w14:paraId="21D4AA5D" w14:textId="3A051F09" w:rsidR="007035E5" w:rsidRPr="00CE60B0" w:rsidRDefault="007035E5" w:rsidP="007035E5">
            <w:pPr>
              <w:jc w:val="center"/>
              <w:rPr>
                <w:color w:val="000000"/>
                <w:lang w:val="id-ID" w:eastAsia="id-ID"/>
              </w:rPr>
            </w:pPr>
            <w:r w:rsidRPr="000A6BBE">
              <w:rPr>
                <w:color w:val="000000"/>
              </w:rPr>
              <w:t>0,33</w:t>
            </w:r>
            <w:r w:rsidRPr="000A6BBE">
              <w:rPr>
                <w:color w:val="000000"/>
                <w:vertAlign w:val="superscript"/>
              </w:rPr>
              <w:t>cde</w:t>
            </w:r>
            <w:r w:rsidRPr="000A6BBE">
              <w:rPr>
                <w:color w:val="000000"/>
              </w:rPr>
              <w:t xml:space="preserve"> </w:t>
            </w:r>
            <w:r w:rsidRPr="000A6BBE">
              <w:t>± 0,04</w:t>
            </w:r>
          </w:p>
        </w:tc>
        <w:tc>
          <w:tcPr>
            <w:tcW w:w="2835" w:type="dxa"/>
            <w:tcBorders>
              <w:top w:val="nil"/>
              <w:left w:val="nil"/>
              <w:bottom w:val="nil"/>
              <w:right w:val="nil"/>
            </w:tcBorders>
            <w:shd w:val="clear" w:color="auto" w:fill="auto"/>
            <w:vAlign w:val="bottom"/>
            <w:hideMark/>
          </w:tcPr>
          <w:p w14:paraId="76987644" w14:textId="11B28639" w:rsidR="007035E5" w:rsidRPr="00CE60B0" w:rsidRDefault="007035E5" w:rsidP="007035E5">
            <w:pPr>
              <w:jc w:val="center"/>
              <w:rPr>
                <w:color w:val="000000"/>
                <w:lang w:val="id-ID" w:eastAsia="id-ID"/>
              </w:rPr>
            </w:pPr>
            <w:r w:rsidRPr="001F5B02">
              <w:rPr>
                <w:color w:val="000000"/>
              </w:rPr>
              <w:t>27,35</w:t>
            </w:r>
            <w:r>
              <w:rPr>
                <w:color w:val="000000"/>
                <w:vertAlign w:val="superscript"/>
              </w:rPr>
              <w:t>bcd</w:t>
            </w:r>
            <w:r w:rsidRPr="001F5B02">
              <w:t xml:space="preserve"> ±</w:t>
            </w:r>
            <w:r>
              <w:t xml:space="preserve"> </w:t>
            </w:r>
            <w:r w:rsidRPr="001F5B02">
              <w:t>2,97</w:t>
            </w:r>
          </w:p>
        </w:tc>
      </w:tr>
      <w:tr w:rsidR="007035E5" w:rsidRPr="00CE60B0" w14:paraId="6A95E185" w14:textId="77777777" w:rsidTr="004B39FC">
        <w:trPr>
          <w:trHeight w:val="260"/>
        </w:trPr>
        <w:tc>
          <w:tcPr>
            <w:tcW w:w="1310" w:type="dxa"/>
            <w:tcBorders>
              <w:top w:val="nil"/>
              <w:left w:val="nil"/>
              <w:bottom w:val="nil"/>
              <w:right w:val="nil"/>
            </w:tcBorders>
          </w:tcPr>
          <w:p w14:paraId="1F528C00" w14:textId="77777777" w:rsidR="007035E5" w:rsidRPr="00CE60B0" w:rsidRDefault="007035E5" w:rsidP="007035E5">
            <w:pPr>
              <w:jc w:val="center"/>
              <w:rPr>
                <w:color w:val="000000"/>
                <w:lang w:val="id-ID" w:eastAsia="id-ID"/>
              </w:rPr>
            </w:pPr>
            <w:r w:rsidRPr="00CE60B0">
              <w:rPr>
                <w:color w:val="000000"/>
                <w:lang w:val="id-ID" w:eastAsia="id-ID"/>
              </w:rPr>
              <w:t>6</w:t>
            </w:r>
          </w:p>
        </w:tc>
        <w:tc>
          <w:tcPr>
            <w:tcW w:w="1843" w:type="dxa"/>
            <w:tcBorders>
              <w:top w:val="nil"/>
              <w:left w:val="nil"/>
              <w:bottom w:val="nil"/>
              <w:right w:val="nil"/>
            </w:tcBorders>
            <w:shd w:val="clear" w:color="auto" w:fill="auto"/>
            <w:vAlign w:val="center"/>
            <w:hideMark/>
          </w:tcPr>
          <w:p w14:paraId="3CD19638" w14:textId="6EDDAE0A" w:rsidR="007035E5" w:rsidRPr="00CE60B0" w:rsidRDefault="007035E5" w:rsidP="007035E5">
            <w:pPr>
              <w:jc w:val="center"/>
              <w:rPr>
                <w:color w:val="000000"/>
                <w:lang w:val="id-ID" w:eastAsia="id-ID"/>
              </w:rPr>
            </w:pPr>
            <w:r w:rsidRPr="000A6BBE">
              <w:rPr>
                <w:color w:val="000000"/>
              </w:rPr>
              <w:t>13,23</w:t>
            </w:r>
            <w:r>
              <w:rPr>
                <w:color w:val="000000"/>
                <w:vertAlign w:val="superscript"/>
              </w:rPr>
              <w:t>d</w:t>
            </w:r>
            <w:r w:rsidRPr="000A6BBE">
              <w:rPr>
                <w:color w:val="000000"/>
              </w:rPr>
              <w:t xml:space="preserve">   </w:t>
            </w:r>
            <w:r w:rsidRPr="000A6BBE">
              <w:t>± 0,20</w:t>
            </w:r>
          </w:p>
        </w:tc>
        <w:tc>
          <w:tcPr>
            <w:tcW w:w="1842" w:type="dxa"/>
            <w:tcBorders>
              <w:top w:val="nil"/>
              <w:left w:val="nil"/>
              <w:bottom w:val="nil"/>
              <w:right w:val="nil"/>
            </w:tcBorders>
            <w:shd w:val="clear" w:color="auto" w:fill="auto"/>
            <w:vAlign w:val="center"/>
            <w:hideMark/>
          </w:tcPr>
          <w:p w14:paraId="4F7CC15A" w14:textId="7E38C9EE" w:rsidR="007035E5" w:rsidRPr="00CE60B0" w:rsidRDefault="007035E5" w:rsidP="007035E5">
            <w:pPr>
              <w:jc w:val="center"/>
              <w:rPr>
                <w:color w:val="000000"/>
                <w:lang w:val="id-ID" w:eastAsia="id-ID"/>
              </w:rPr>
            </w:pPr>
            <w:r w:rsidRPr="000A6BBE">
              <w:rPr>
                <w:color w:val="000000"/>
              </w:rPr>
              <w:t>0,37</w:t>
            </w:r>
            <w:proofErr w:type="gramStart"/>
            <w:r w:rsidRPr="000A6BBE">
              <w:rPr>
                <w:color w:val="000000"/>
                <w:vertAlign w:val="superscript"/>
              </w:rPr>
              <w:t>de</w:t>
            </w:r>
            <w:r w:rsidRPr="000A6BBE">
              <w:rPr>
                <w:color w:val="000000"/>
              </w:rPr>
              <w:t xml:space="preserve">  </w:t>
            </w:r>
            <w:r w:rsidRPr="000A6BBE">
              <w:t>±</w:t>
            </w:r>
            <w:proofErr w:type="gramEnd"/>
            <w:r w:rsidRPr="000A6BBE">
              <w:t xml:space="preserve"> 0,05</w:t>
            </w:r>
          </w:p>
        </w:tc>
        <w:tc>
          <w:tcPr>
            <w:tcW w:w="2835" w:type="dxa"/>
            <w:tcBorders>
              <w:top w:val="nil"/>
              <w:left w:val="nil"/>
              <w:bottom w:val="nil"/>
              <w:right w:val="nil"/>
            </w:tcBorders>
            <w:shd w:val="clear" w:color="auto" w:fill="auto"/>
            <w:vAlign w:val="bottom"/>
            <w:hideMark/>
          </w:tcPr>
          <w:p w14:paraId="00127FD4" w14:textId="44DF1B55" w:rsidR="007035E5" w:rsidRPr="00CE60B0" w:rsidRDefault="007035E5" w:rsidP="007035E5">
            <w:pPr>
              <w:jc w:val="center"/>
              <w:rPr>
                <w:color w:val="000000"/>
                <w:lang w:val="id-ID" w:eastAsia="id-ID"/>
              </w:rPr>
            </w:pPr>
            <w:r w:rsidRPr="001F5B02">
              <w:rPr>
                <w:color w:val="000000"/>
              </w:rPr>
              <w:t>27,98</w:t>
            </w:r>
            <w:proofErr w:type="gramStart"/>
            <w:r w:rsidRPr="001F5B02">
              <w:rPr>
                <w:color w:val="000000"/>
                <w:vertAlign w:val="superscript"/>
              </w:rPr>
              <w:t>cd</w:t>
            </w:r>
            <w:r w:rsidRPr="001F5B02">
              <w:rPr>
                <w:color w:val="000000"/>
              </w:rPr>
              <w:t xml:space="preserve">  </w:t>
            </w:r>
            <w:r w:rsidRPr="001F5B02">
              <w:t>±</w:t>
            </w:r>
            <w:proofErr w:type="gramEnd"/>
            <w:r w:rsidRPr="001F5B02">
              <w:t xml:space="preserve"> 0,82</w:t>
            </w:r>
          </w:p>
        </w:tc>
      </w:tr>
      <w:tr w:rsidR="007035E5" w:rsidRPr="00CE60B0" w14:paraId="4EE8F73D" w14:textId="77777777" w:rsidTr="004B39FC">
        <w:trPr>
          <w:trHeight w:val="277"/>
        </w:trPr>
        <w:tc>
          <w:tcPr>
            <w:tcW w:w="1310" w:type="dxa"/>
            <w:tcBorders>
              <w:top w:val="nil"/>
              <w:left w:val="nil"/>
              <w:bottom w:val="single" w:sz="8" w:space="0" w:color="auto"/>
              <w:right w:val="nil"/>
            </w:tcBorders>
          </w:tcPr>
          <w:p w14:paraId="12F9AB99" w14:textId="77777777" w:rsidR="007035E5" w:rsidRPr="00CE60B0" w:rsidRDefault="007035E5" w:rsidP="007035E5">
            <w:pPr>
              <w:jc w:val="center"/>
              <w:rPr>
                <w:color w:val="000000"/>
                <w:lang w:val="id-ID" w:eastAsia="id-ID"/>
              </w:rPr>
            </w:pPr>
            <w:r w:rsidRPr="00CE60B0">
              <w:rPr>
                <w:color w:val="000000"/>
                <w:lang w:val="id-ID" w:eastAsia="id-ID"/>
              </w:rPr>
              <w:t>7</w:t>
            </w:r>
          </w:p>
        </w:tc>
        <w:tc>
          <w:tcPr>
            <w:tcW w:w="1843" w:type="dxa"/>
            <w:tcBorders>
              <w:top w:val="nil"/>
              <w:left w:val="nil"/>
              <w:bottom w:val="single" w:sz="8" w:space="0" w:color="auto"/>
              <w:right w:val="nil"/>
            </w:tcBorders>
            <w:shd w:val="clear" w:color="auto" w:fill="auto"/>
            <w:vAlign w:val="center"/>
            <w:hideMark/>
          </w:tcPr>
          <w:p w14:paraId="0F38BEDD" w14:textId="1CF70E1E" w:rsidR="007035E5" w:rsidRPr="00CE60B0" w:rsidRDefault="007035E5" w:rsidP="007035E5">
            <w:pPr>
              <w:jc w:val="center"/>
              <w:rPr>
                <w:color w:val="000000"/>
                <w:lang w:val="id-ID" w:eastAsia="id-ID"/>
              </w:rPr>
            </w:pPr>
            <w:r w:rsidRPr="000A6BBE">
              <w:rPr>
                <w:color w:val="000000"/>
              </w:rPr>
              <w:t>13,27</w:t>
            </w:r>
            <w:r>
              <w:rPr>
                <w:color w:val="000000"/>
                <w:vertAlign w:val="superscript"/>
              </w:rPr>
              <w:t>d</w:t>
            </w:r>
            <w:r w:rsidRPr="000A6BBE">
              <w:rPr>
                <w:color w:val="000000"/>
              </w:rPr>
              <w:t xml:space="preserve">   </w:t>
            </w:r>
            <w:r w:rsidRPr="000A6BBE">
              <w:t>± 0,19</w:t>
            </w:r>
          </w:p>
        </w:tc>
        <w:tc>
          <w:tcPr>
            <w:tcW w:w="1842" w:type="dxa"/>
            <w:tcBorders>
              <w:top w:val="nil"/>
              <w:left w:val="nil"/>
              <w:bottom w:val="single" w:sz="8" w:space="0" w:color="auto"/>
              <w:right w:val="nil"/>
            </w:tcBorders>
            <w:shd w:val="clear" w:color="auto" w:fill="auto"/>
            <w:vAlign w:val="center"/>
            <w:hideMark/>
          </w:tcPr>
          <w:p w14:paraId="0EFED332" w14:textId="34B44B5E" w:rsidR="007035E5" w:rsidRPr="00CE60B0" w:rsidRDefault="007035E5" w:rsidP="007035E5">
            <w:pPr>
              <w:jc w:val="center"/>
              <w:rPr>
                <w:color w:val="000000"/>
                <w:lang w:val="id-ID" w:eastAsia="id-ID"/>
              </w:rPr>
            </w:pPr>
            <w:r w:rsidRPr="000A6BBE">
              <w:rPr>
                <w:color w:val="000000"/>
              </w:rPr>
              <w:t>0,38</w:t>
            </w:r>
            <w:r>
              <w:rPr>
                <w:color w:val="000000"/>
                <w:vertAlign w:val="superscript"/>
              </w:rPr>
              <w:t>e</w:t>
            </w:r>
            <w:r w:rsidRPr="000A6BBE">
              <w:rPr>
                <w:color w:val="000000"/>
              </w:rPr>
              <w:t xml:space="preserve">  </w:t>
            </w:r>
            <w:r>
              <w:rPr>
                <w:color w:val="000000"/>
              </w:rPr>
              <w:t xml:space="preserve"> </w:t>
            </w:r>
            <w:r w:rsidRPr="000A6BBE">
              <w:t>± 0,09</w:t>
            </w:r>
          </w:p>
        </w:tc>
        <w:tc>
          <w:tcPr>
            <w:tcW w:w="2835" w:type="dxa"/>
            <w:tcBorders>
              <w:top w:val="nil"/>
              <w:left w:val="nil"/>
              <w:bottom w:val="single" w:sz="8" w:space="0" w:color="auto"/>
              <w:right w:val="nil"/>
            </w:tcBorders>
            <w:shd w:val="clear" w:color="auto" w:fill="auto"/>
            <w:vAlign w:val="bottom"/>
            <w:hideMark/>
          </w:tcPr>
          <w:p w14:paraId="60F8CD66" w14:textId="2F9C4C77" w:rsidR="007035E5" w:rsidRPr="00CE60B0" w:rsidRDefault="007035E5" w:rsidP="007035E5">
            <w:pPr>
              <w:jc w:val="center"/>
              <w:rPr>
                <w:color w:val="000000"/>
                <w:lang w:val="id-ID" w:eastAsia="id-ID"/>
              </w:rPr>
            </w:pPr>
            <w:r w:rsidRPr="001F5B02">
              <w:rPr>
                <w:color w:val="000000"/>
              </w:rPr>
              <w:t>28,40</w:t>
            </w:r>
            <w:r w:rsidRPr="001F5B02">
              <w:rPr>
                <w:color w:val="000000"/>
                <w:vertAlign w:val="superscript"/>
              </w:rPr>
              <w:t>d</w:t>
            </w:r>
            <w:r w:rsidRPr="001F5B02">
              <w:rPr>
                <w:color w:val="000000"/>
              </w:rPr>
              <w:t xml:space="preserve">  </w:t>
            </w:r>
            <w:r>
              <w:rPr>
                <w:color w:val="000000"/>
              </w:rPr>
              <w:t xml:space="preserve"> </w:t>
            </w:r>
            <w:r w:rsidRPr="001F5B02">
              <w:t>± 2,23</w:t>
            </w:r>
          </w:p>
        </w:tc>
      </w:tr>
    </w:tbl>
    <w:p w14:paraId="7728DCA8" w14:textId="77777777" w:rsidR="00CE60B0" w:rsidRDefault="00CE60B0" w:rsidP="00A11DD1">
      <w:pPr>
        <w:spacing w:line="276" w:lineRule="auto"/>
        <w:jc w:val="both"/>
        <w:rPr>
          <w:b/>
          <w:i/>
          <w:lang w:val="id-ID"/>
        </w:rPr>
      </w:pPr>
    </w:p>
    <w:p w14:paraId="4E9FE70B" w14:textId="77777777" w:rsidR="00CE60B0" w:rsidRDefault="00CE60B0" w:rsidP="00A11DD1">
      <w:pPr>
        <w:spacing w:line="276" w:lineRule="auto"/>
        <w:jc w:val="both"/>
        <w:rPr>
          <w:b/>
          <w:i/>
          <w:lang w:val="id-ID"/>
        </w:rPr>
        <w:sectPr w:rsidR="00CE60B0" w:rsidSect="00CE60B0">
          <w:type w:val="continuous"/>
          <w:pgSz w:w="11906" w:h="16838"/>
          <w:pgMar w:top="1701" w:right="1701" w:bottom="1701" w:left="2268" w:header="709" w:footer="709" w:gutter="0"/>
          <w:cols w:space="566"/>
          <w:docGrid w:linePitch="360"/>
        </w:sectPr>
      </w:pPr>
    </w:p>
    <w:p w14:paraId="4F1BB857" w14:textId="2C9AEDC2" w:rsidR="008D3342" w:rsidRDefault="000303D9" w:rsidP="002160F3">
      <w:pPr>
        <w:spacing w:after="120" w:line="276" w:lineRule="auto"/>
        <w:jc w:val="both"/>
        <w:rPr>
          <w:b/>
          <w:i/>
          <w:lang w:val="id-ID"/>
        </w:rPr>
      </w:pPr>
      <w:r>
        <w:rPr>
          <w:b/>
          <w:i/>
          <w:lang w:val="id-ID"/>
        </w:rPr>
        <w:t>Kadar Air</w:t>
      </w:r>
    </w:p>
    <w:p w14:paraId="0B7323A7" w14:textId="33D91FB8" w:rsidR="002F19DB" w:rsidRPr="002160F3" w:rsidRDefault="00A059E3" w:rsidP="002160F3">
      <w:pPr>
        <w:autoSpaceDE w:val="0"/>
        <w:autoSpaceDN w:val="0"/>
        <w:adjustRightInd w:val="0"/>
        <w:spacing w:line="276" w:lineRule="auto"/>
        <w:ind w:firstLine="426"/>
        <w:jc w:val="both"/>
      </w:pPr>
      <w:r w:rsidRPr="00D24D29">
        <w:t xml:space="preserve">Hasil analisis </w:t>
      </w:r>
      <w:r w:rsidR="00742835" w:rsidRPr="00D24D29">
        <w:t xml:space="preserve">sidik ragam </w:t>
      </w:r>
      <w:r w:rsidRPr="00D24D29">
        <w:t xml:space="preserve">menunjukkan, permen </w:t>
      </w:r>
      <w:r w:rsidRPr="00D24D29">
        <w:rPr>
          <w:i/>
        </w:rPr>
        <w:t xml:space="preserve">jelly </w:t>
      </w:r>
      <w:r w:rsidRPr="00D24D29">
        <w:t>cempedak dengan berbagai konsentrasi agar-agar yan</w:t>
      </w:r>
      <w:r w:rsidRPr="002D2726">
        <w:t xml:space="preserve">g digunakan dalam pembuatan permen </w:t>
      </w:r>
      <w:r w:rsidRPr="002D2726">
        <w:rPr>
          <w:i/>
        </w:rPr>
        <w:t xml:space="preserve">jelly </w:t>
      </w:r>
      <w:r w:rsidRPr="002D2726">
        <w:t xml:space="preserve">berpengaruh nyata </w:t>
      </w:r>
      <w:r w:rsidRPr="002D2726">
        <w:t xml:space="preserve">terhadap jumlah kadar air produk permen </w:t>
      </w:r>
      <w:r w:rsidRPr="002D2726">
        <w:rPr>
          <w:i/>
        </w:rPr>
        <w:t xml:space="preserve">jelly </w:t>
      </w:r>
      <w:r w:rsidRPr="002D2726">
        <w:t>cempedak yang dihasilkan.</w:t>
      </w:r>
      <w:r>
        <w:rPr>
          <w:lang w:val="id-ID"/>
        </w:rPr>
        <w:t xml:space="preserve"> </w:t>
      </w:r>
      <w:r w:rsidR="00CE60B0">
        <w:rPr>
          <w:lang w:val="id-ID"/>
        </w:rPr>
        <w:t>Tabel</w:t>
      </w:r>
      <w:r w:rsidR="002F19DB">
        <w:rPr>
          <w:lang w:val="id-ID"/>
        </w:rPr>
        <w:t xml:space="preserve"> 1, </w:t>
      </w:r>
      <w:r w:rsidR="002F19DB" w:rsidRPr="000A6BBE">
        <w:t>menunjukkan bahwa nilai rata-rata kadar air permen</w:t>
      </w:r>
      <w:r w:rsidR="002F19DB" w:rsidRPr="000A6BBE">
        <w:rPr>
          <w:i/>
        </w:rPr>
        <w:t xml:space="preserve"> jelly </w:t>
      </w:r>
      <w:r w:rsidR="002F19DB" w:rsidRPr="000A6BBE">
        <w:t xml:space="preserve">cempedak berkisar antara 11,61-13,27 %. Pada konsentrasi agar-agar </w:t>
      </w:r>
      <w:r w:rsidR="002F19DB" w:rsidRPr="000A6BBE">
        <w:lastRenderedPageBreak/>
        <w:t>yang rendah tidak mempe</w:t>
      </w:r>
      <w:r w:rsidR="002F19DB" w:rsidRPr="00F92A12">
        <w:t xml:space="preserve">ngaruhi jumlah kadar air produk </w:t>
      </w:r>
      <w:r w:rsidR="002F19DB" w:rsidRPr="00F92A12">
        <w:rPr>
          <w:i/>
        </w:rPr>
        <w:t>jelly</w:t>
      </w:r>
      <w:r w:rsidR="002F19DB" w:rsidRPr="00F92A12">
        <w:t xml:space="preserve"> yang dihasilkan. Namun demikian peningkatan 3-7 % menghasilkan kandungan air produk jelly yang semakin besar. Pada penambahan 7 % menghasilkan kadar air tertinggi yaitu 13,27 %.</w:t>
      </w:r>
      <w:r w:rsidR="002F19DB" w:rsidRPr="002F19DB">
        <w:t xml:space="preserve"> </w:t>
      </w:r>
      <w:r w:rsidR="002F19DB" w:rsidRPr="00F92A12">
        <w:t xml:space="preserve">Hal ini sesuai dengan </w:t>
      </w:r>
      <w:r w:rsidR="002F19DB" w:rsidRPr="00F92A12">
        <w:rPr>
          <w:rFonts w:eastAsia="ArialNarrow"/>
        </w:rPr>
        <w:t>Widyaningtyas da</w:t>
      </w:r>
      <w:r w:rsidR="002F19DB" w:rsidRPr="00E02BA6">
        <w:rPr>
          <w:rFonts w:eastAsia="ArialNarrow"/>
        </w:rPr>
        <w:t>n Susanto (2014)</w:t>
      </w:r>
      <w:r w:rsidR="002F19DB">
        <w:rPr>
          <w:rFonts w:eastAsia="ArialNarrow"/>
        </w:rPr>
        <w:t>, bahwa</w:t>
      </w:r>
      <w:r w:rsidR="002F19DB" w:rsidRPr="00E02BA6">
        <w:rPr>
          <w:rFonts w:eastAsia="ArialNarrow"/>
        </w:rPr>
        <w:t xml:space="preserve"> perbedaan kadar air dikarenakan</w:t>
      </w:r>
      <w:r w:rsidR="002F19DB">
        <w:rPr>
          <w:rFonts w:eastAsia="ArialNarrow"/>
        </w:rPr>
        <w:t xml:space="preserve"> </w:t>
      </w:r>
      <w:r w:rsidR="002F19DB" w:rsidRPr="00E02BA6">
        <w:rPr>
          <w:rFonts w:eastAsia="ArialNarrow"/>
        </w:rPr>
        <w:t>penambahan hidrokoloid yang dapat</w:t>
      </w:r>
      <w:r w:rsidR="002F19DB">
        <w:rPr>
          <w:rFonts w:eastAsia="ArialNarrow"/>
        </w:rPr>
        <w:t xml:space="preserve"> </w:t>
      </w:r>
      <w:r w:rsidR="002F19DB" w:rsidRPr="00E02BA6">
        <w:rPr>
          <w:rFonts w:eastAsia="ArialNarrow"/>
        </w:rPr>
        <w:t>meningkatkan kadar air.</w:t>
      </w:r>
      <w:r w:rsidR="002F19DB">
        <w:rPr>
          <w:rFonts w:eastAsia="ArialNarrow"/>
          <w:lang w:val="id-ID"/>
        </w:rPr>
        <w:t xml:space="preserve"> </w:t>
      </w:r>
      <w:r w:rsidR="002F19DB">
        <w:t>M</w:t>
      </w:r>
      <w:r w:rsidR="002F19DB" w:rsidRPr="005925DD">
        <w:t xml:space="preserve">enurut SNI 02-3547-2008 </w:t>
      </w:r>
      <w:r w:rsidR="002F19DB">
        <w:t xml:space="preserve">kadar air </w:t>
      </w:r>
      <w:r w:rsidR="002F19DB" w:rsidRPr="005925DD">
        <w:t xml:space="preserve">maksimal </w:t>
      </w:r>
      <w:r w:rsidR="002F19DB">
        <w:t xml:space="preserve">yang diperbolehkan untuk permen </w:t>
      </w:r>
      <w:r w:rsidR="002F19DB">
        <w:rPr>
          <w:i/>
        </w:rPr>
        <w:t xml:space="preserve">jelly </w:t>
      </w:r>
      <w:r w:rsidR="002F19DB">
        <w:t xml:space="preserve">adalah </w:t>
      </w:r>
      <w:r w:rsidR="002F19DB" w:rsidRPr="005925DD">
        <w:t>20</w:t>
      </w:r>
      <w:r w:rsidR="002F19DB">
        <w:t xml:space="preserve"> </w:t>
      </w:r>
      <w:r w:rsidR="002F19DB" w:rsidRPr="005925DD">
        <w:t>%.</w:t>
      </w:r>
    </w:p>
    <w:p w14:paraId="5B2B71AB" w14:textId="77777777" w:rsidR="00CC55A6" w:rsidRDefault="00CC55A6" w:rsidP="002160F3">
      <w:pPr>
        <w:autoSpaceDE w:val="0"/>
        <w:autoSpaceDN w:val="0"/>
        <w:adjustRightInd w:val="0"/>
        <w:spacing w:before="240" w:after="120" w:line="276" w:lineRule="auto"/>
        <w:jc w:val="both"/>
        <w:rPr>
          <w:b/>
          <w:i/>
          <w:lang w:val="id-ID"/>
        </w:rPr>
      </w:pPr>
      <w:r>
        <w:rPr>
          <w:b/>
          <w:i/>
          <w:lang w:val="id-ID"/>
        </w:rPr>
        <w:t>Kadar Abu</w:t>
      </w:r>
    </w:p>
    <w:p w14:paraId="66D7747C" w14:textId="4398F8C5" w:rsidR="002F19DB" w:rsidRDefault="00353E0E" w:rsidP="00353E0E">
      <w:pPr>
        <w:tabs>
          <w:tab w:val="left" w:pos="426"/>
        </w:tabs>
        <w:autoSpaceDE w:val="0"/>
        <w:autoSpaceDN w:val="0"/>
        <w:adjustRightInd w:val="0"/>
        <w:spacing w:line="276" w:lineRule="auto"/>
        <w:jc w:val="both"/>
      </w:pPr>
      <w:r>
        <w:tab/>
      </w:r>
      <w:r w:rsidR="002F19DB" w:rsidRPr="005274F2">
        <w:t xml:space="preserve">Hasil analisis </w:t>
      </w:r>
      <w:r w:rsidR="00742835" w:rsidRPr="00D24D29">
        <w:t>sidik ragam</w:t>
      </w:r>
      <w:r w:rsidR="00742835" w:rsidRPr="005274F2">
        <w:t xml:space="preserve"> </w:t>
      </w:r>
      <w:r w:rsidR="002F19DB" w:rsidRPr="005274F2">
        <w:t xml:space="preserve">menunjukkan, permen </w:t>
      </w:r>
      <w:r w:rsidR="002F19DB" w:rsidRPr="005274F2">
        <w:rPr>
          <w:i/>
        </w:rPr>
        <w:t xml:space="preserve">jelly </w:t>
      </w:r>
      <w:r w:rsidR="002F19DB" w:rsidRPr="005274F2">
        <w:t>cempedak dengan berbagai konsentrasi agar-aga</w:t>
      </w:r>
      <w:r w:rsidR="002F19DB" w:rsidRPr="005925DD">
        <w:t>r berpeng</w:t>
      </w:r>
      <w:r w:rsidR="002F19DB" w:rsidRPr="000A6BBE">
        <w:t xml:space="preserve">aruh nyata terhadap jumlah kadar abu permen </w:t>
      </w:r>
      <w:r w:rsidR="002F19DB" w:rsidRPr="000A6BBE">
        <w:rPr>
          <w:i/>
        </w:rPr>
        <w:t xml:space="preserve">jelly </w:t>
      </w:r>
      <w:r w:rsidR="002F19DB" w:rsidRPr="000A6BBE">
        <w:t>cempedak yang dihasilkan</w:t>
      </w:r>
      <w:r w:rsidR="00341926">
        <w:rPr>
          <w:lang w:val="id-ID"/>
        </w:rPr>
        <w:t>. Tabel 1</w:t>
      </w:r>
      <w:r w:rsidR="002F19DB">
        <w:rPr>
          <w:lang w:val="id-ID"/>
        </w:rPr>
        <w:t xml:space="preserve">, </w:t>
      </w:r>
      <w:r w:rsidR="002F19DB" w:rsidRPr="005925DD">
        <w:t>menunjukkan bahwa penambahan agar-agar menyebabkan peningkatan nilai kadar abu pada permen</w:t>
      </w:r>
      <w:r w:rsidR="002F19DB" w:rsidRPr="005925DD">
        <w:rPr>
          <w:i/>
        </w:rPr>
        <w:t xml:space="preserve"> jelly </w:t>
      </w:r>
      <w:r w:rsidR="002F19DB" w:rsidRPr="005925DD">
        <w:t xml:space="preserve">cempedak yang dihasilkan. Nilai </w:t>
      </w:r>
      <w:bookmarkStart w:id="4" w:name="_Hlk508891206"/>
      <w:r w:rsidR="002F19DB" w:rsidRPr="005925DD">
        <w:t xml:space="preserve">kadar abu permen </w:t>
      </w:r>
      <w:r w:rsidR="002F19DB" w:rsidRPr="005925DD">
        <w:rPr>
          <w:i/>
        </w:rPr>
        <w:t xml:space="preserve">jelly </w:t>
      </w:r>
      <w:r w:rsidR="002F19DB" w:rsidRPr="005925DD">
        <w:t xml:space="preserve">cempedak yang dihasilkan berkisar antara </w:t>
      </w:r>
      <w:bookmarkStart w:id="5" w:name="_Hlk508058523"/>
      <w:r w:rsidR="002F19DB" w:rsidRPr="005925DD">
        <w:t>0,20-0,38 %.</w:t>
      </w:r>
      <w:bookmarkEnd w:id="4"/>
      <w:bookmarkEnd w:id="5"/>
      <w:r w:rsidR="002F19DB">
        <w:rPr>
          <w:lang w:val="id-ID"/>
        </w:rPr>
        <w:t xml:space="preserve"> </w:t>
      </w:r>
      <w:r w:rsidR="002F19DB" w:rsidRPr="00213EFA">
        <w:t xml:space="preserve">Hasil penelitian ini juga </w:t>
      </w:r>
      <w:r w:rsidR="002F19DB" w:rsidRPr="00084566">
        <w:t>didukung oleh pernyataan Winarno (1992), jika mineral yang terkandung di dalam bahan pangan tinggi maka tinggi pula kadar abu yang dihasilkan.</w:t>
      </w:r>
      <w:r w:rsidR="002F19DB">
        <w:rPr>
          <w:lang w:val="id-ID"/>
        </w:rPr>
        <w:t xml:space="preserve"> </w:t>
      </w:r>
      <w:r w:rsidR="001D4D13" w:rsidRPr="005925DD">
        <w:t>Mineral yang ter</w:t>
      </w:r>
      <w:r w:rsidR="001D4D13" w:rsidRPr="00084566">
        <w:t>kandung didalam agar-agar antara lain adalah K, Ca, P, Na, Fe (Insan, 2014).</w:t>
      </w:r>
      <w:r w:rsidR="001D4D13" w:rsidRPr="00213EFA">
        <w:t xml:space="preserve"> </w:t>
      </w:r>
      <w:r w:rsidR="002F19DB" w:rsidRPr="00084566">
        <w:t xml:space="preserve">Menurut SNI 02-3547-2008, kadar abu maksimal permen </w:t>
      </w:r>
      <w:r w:rsidR="002F19DB" w:rsidRPr="00084566">
        <w:rPr>
          <w:i/>
        </w:rPr>
        <w:t xml:space="preserve">jelly </w:t>
      </w:r>
      <w:r w:rsidR="002F19DB" w:rsidRPr="00084566">
        <w:t>adalah 3 %.</w:t>
      </w:r>
    </w:p>
    <w:p w14:paraId="5E8C663F" w14:textId="4B3B6011" w:rsidR="002160F3" w:rsidRDefault="002160F3" w:rsidP="00353E0E">
      <w:pPr>
        <w:tabs>
          <w:tab w:val="left" w:pos="426"/>
        </w:tabs>
        <w:autoSpaceDE w:val="0"/>
        <w:autoSpaceDN w:val="0"/>
        <w:adjustRightInd w:val="0"/>
        <w:spacing w:line="276" w:lineRule="auto"/>
        <w:jc w:val="both"/>
        <w:rPr>
          <w:lang w:val="id-ID"/>
        </w:rPr>
      </w:pPr>
    </w:p>
    <w:p w14:paraId="3FE15C92" w14:textId="77777777" w:rsidR="002160F3" w:rsidRPr="002F19DB" w:rsidRDefault="002160F3" w:rsidP="00353E0E">
      <w:pPr>
        <w:tabs>
          <w:tab w:val="left" w:pos="426"/>
        </w:tabs>
        <w:autoSpaceDE w:val="0"/>
        <w:autoSpaceDN w:val="0"/>
        <w:adjustRightInd w:val="0"/>
        <w:spacing w:line="276" w:lineRule="auto"/>
        <w:jc w:val="both"/>
        <w:rPr>
          <w:lang w:val="id-ID"/>
        </w:rPr>
      </w:pPr>
    </w:p>
    <w:p w14:paraId="00C965F2" w14:textId="343B14C9" w:rsidR="00A80716" w:rsidRDefault="00A80716" w:rsidP="002160F3">
      <w:pPr>
        <w:autoSpaceDE w:val="0"/>
        <w:autoSpaceDN w:val="0"/>
        <w:adjustRightInd w:val="0"/>
        <w:spacing w:before="240" w:line="276" w:lineRule="auto"/>
        <w:jc w:val="both"/>
        <w:rPr>
          <w:b/>
          <w:i/>
          <w:lang w:val="id-ID"/>
        </w:rPr>
      </w:pPr>
      <w:r>
        <w:rPr>
          <w:b/>
          <w:i/>
          <w:lang w:val="id-ID"/>
        </w:rPr>
        <w:t>Total Padatan Terlarut</w:t>
      </w:r>
    </w:p>
    <w:p w14:paraId="32F20D45" w14:textId="3E7832CD" w:rsidR="004F5C49" w:rsidRDefault="00BD022C" w:rsidP="00353E0E">
      <w:pPr>
        <w:autoSpaceDE w:val="0"/>
        <w:autoSpaceDN w:val="0"/>
        <w:adjustRightInd w:val="0"/>
        <w:spacing w:line="276" w:lineRule="auto"/>
        <w:ind w:firstLine="426"/>
        <w:jc w:val="both"/>
        <w:rPr>
          <w:i/>
        </w:rPr>
      </w:pPr>
      <w:r w:rsidRPr="00116CC9">
        <w:t xml:space="preserve">Hasil analisis </w:t>
      </w:r>
      <w:r w:rsidR="00742835" w:rsidRPr="00D24D29">
        <w:t>sidik ragam</w:t>
      </w:r>
      <w:r w:rsidR="00742835" w:rsidRPr="00116CC9">
        <w:t xml:space="preserve"> </w:t>
      </w:r>
      <w:r w:rsidRPr="00116CC9">
        <w:t xml:space="preserve">menunjukkan, permen </w:t>
      </w:r>
      <w:r w:rsidRPr="00116CC9">
        <w:rPr>
          <w:i/>
        </w:rPr>
        <w:t xml:space="preserve">jelly </w:t>
      </w:r>
      <w:r w:rsidRPr="00116CC9">
        <w:t xml:space="preserve">cempedak dengan berbagai konsentrasi agar-agar berpengaruh </w:t>
      </w:r>
      <w:r w:rsidRPr="00845EB0">
        <w:t xml:space="preserve">nyata terhadap nilai total padatan terlarut permen </w:t>
      </w:r>
      <w:r w:rsidRPr="00845EB0">
        <w:rPr>
          <w:i/>
        </w:rPr>
        <w:t xml:space="preserve">jelly </w:t>
      </w:r>
      <w:r w:rsidRPr="00845EB0">
        <w:t>cempedak yang dihasilkan</w:t>
      </w:r>
      <w:r>
        <w:rPr>
          <w:lang w:val="id-ID"/>
        </w:rPr>
        <w:t xml:space="preserve">. </w:t>
      </w:r>
      <w:r w:rsidR="00341926">
        <w:rPr>
          <w:lang w:val="id-ID"/>
        </w:rPr>
        <w:t>Tabel 1</w:t>
      </w:r>
      <w:r w:rsidR="004F5C49">
        <w:rPr>
          <w:lang w:val="id-ID"/>
        </w:rPr>
        <w:t xml:space="preserve">, </w:t>
      </w:r>
      <w:r w:rsidR="004F5C49" w:rsidRPr="001F5B02">
        <w:t>menunjukkan nilai rerata</w:t>
      </w:r>
      <w:bookmarkStart w:id="6" w:name="_Hlk508059231"/>
      <w:r w:rsidR="004F5C49" w:rsidRPr="001F5B02">
        <w:t xml:space="preserve"> </w:t>
      </w:r>
      <w:bookmarkStart w:id="7" w:name="_Hlk508889216"/>
      <w:r w:rsidR="004F5C49" w:rsidRPr="001F5B02">
        <w:t>total padatan terlarut</w:t>
      </w:r>
      <w:bookmarkEnd w:id="7"/>
      <w:r w:rsidR="004F5C49" w:rsidRPr="001F5B02">
        <w:t xml:space="preserve"> </w:t>
      </w:r>
      <w:bookmarkStart w:id="8" w:name="_Hlk508889246"/>
      <w:r w:rsidR="004F5C49" w:rsidRPr="001F5B02">
        <w:t>permen</w:t>
      </w:r>
      <w:r w:rsidR="004F5C49" w:rsidRPr="001F5B02">
        <w:rPr>
          <w:i/>
        </w:rPr>
        <w:t xml:space="preserve"> jelly </w:t>
      </w:r>
      <w:r w:rsidR="004F5C49" w:rsidRPr="001F5B02">
        <w:t xml:space="preserve">cempedak yang dihasilkan berkisar antara 23,20-28,40 </w:t>
      </w:r>
      <w:r w:rsidR="004F5C49" w:rsidRPr="001F5B02">
        <w:rPr>
          <w:vertAlign w:val="superscript"/>
        </w:rPr>
        <w:t>0</w:t>
      </w:r>
      <w:r w:rsidR="004F5C49" w:rsidRPr="001F5B02">
        <w:t>brix</w:t>
      </w:r>
      <w:bookmarkEnd w:id="6"/>
      <w:r w:rsidR="004F5C49" w:rsidRPr="001F5B02">
        <w:t>.</w:t>
      </w:r>
      <w:bookmarkEnd w:id="8"/>
      <w:r w:rsidR="00DC25D8" w:rsidRPr="00DC25D8">
        <w:t xml:space="preserve"> </w:t>
      </w:r>
      <w:r w:rsidR="00DC25D8" w:rsidRPr="001F5B02">
        <w:t xml:space="preserve">Semakin bertambah konsentrasi agar-agar maka semakin meningkat nilai total padatan terlarut pada permen </w:t>
      </w:r>
      <w:r w:rsidR="00DC25D8" w:rsidRPr="001F5B02">
        <w:rPr>
          <w:i/>
        </w:rPr>
        <w:t xml:space="preserve">jelly </w:t>
      </w:r>
      <w:r w:rsidR="00DC25D8" w:rsidRPr="001F5B02">
        <w:t>cempedak yang dihasilkan.</w:t>
      </w:r>
      <w:r w:rsidR="00DC25D8" w:rsidRPr="00DC25D8">
        <w:t xml:space="preserve"> </w:t>
      </w:r>
      <w:r w:rsidR="00DC25D8" w:rsidRPr="001F5B02">
        <w:t xml:space="preserve">Hasil ini didukung oleh pendapat </w:t>
      </w:r>
      <w:bookmarkStart w:id="9" w:name="_Hlk508059410"/>
      <w:r w:rsidR="00DC25D8" w:rsidRPr="001F5B02">
        <w:t>Farikha dkk. (2013)</w:t>
      </w:r>
      <w:bookmarkEnd w:id="9"/>
      <w:r w:rsidR="00DC25D8" w:rsidRPr="001F5B02">
        <w:t xml:space="preserve">, </w:t>
      </w:r>
      <w:bookmarkStart w:id="10" w:name="_Hlk508758974"/>
      <w:r w:rsidR="00DC25D8" w:rsidRPr="001F5B02">
        <w:t>total padatan terlarut meningkat karena air bebas diikat oleh partikel yang terikat oleh penstabil maka total padatan terlarut juga akan semakin meningkat sehingga mengurangi endapan yang terbentuk.</w:t>
      </w:r>
      <w:bookmarkEnd w:id="10"/>
      <w:r w:rsidR="00DC25D8">
        <w:rPr>
          <w:lang w:val="id-ID"/>
        </w:rPr>
        <w:t xml:space="preserve"> </w:t>
      </w:r>
      <w:r w:rsidR="00DC25D8" w:rsidRPr="005925DD">
        <w:t>Menurut SNI 02-3547-2008</w:t>
      </w:r>
      <w:r w:rsidR="00DC25D8">
        <w:t>,</w:t>
      </w:r>
      <w:r w:rsidR="00DC25D8" w:rsidRPr="005925DD">
        <w:t xml:space="preserve"> kadar gula minimal permen </w:t>
      </w:r>
      <w:r w:rsidR="00DC25D8" w:rsidRPr="005925DD">
        <w:rPr>
          <w:i/>
        </w:rPr>
        <w:t xml:space="preserve">jelly </w:t>
      </w:r>
      <w:r w:rsidR="00DC25D8" w:rsidRPr="005925DD">
        <w:t>adalah 27 %</w:t>
      </w:r>
      <w:r w:rsidR="00DC25D8">
        <w:t>.</w:t>
      </w:r>
      <w:r w:rsidR="00DC25D8" w:rsidRPr="005925DD">
        <w:t xml:space="preserve"> </w:t>
      </w:r>
      <w:r w:rsidR="00DC25D8">
        <w:t>Hal ini berarti</w:t>
      </w:r>
      <w:r w:rsidR="00DC25D8" w:rsidRPr="005925DD">
        <w:t xml:space="preserve"> kadar gula permen </w:t>
      </w:r>
      <w:r w:rsidR="00DC25D8" w:rsidRPr="005925DD">
        <w:rPr>
          <w:i/>
        </w:rPr>
        <w:t>jelly</w:t>
      </w:r>
      <w:r w:rsidR="00DC25D8" w:rsidRPr="005925DD">
        <w:t xml:space="preserve"> cempedak</w:t>
      </w:r>
      <w:r w:rsidR="00DC25D8" w:rsidRPr="001C34C0">
        <w:rPr>
          <w:color w:val="FF0000"/>
        </w:rPr>
        <w:t xml:space="preserve"> </w:t>
      </w:r>
      <w:r w:rsidR="00DC25D8" w:rsidRPr="00E474D3">
        <w:t>yang dihasilk</w:t>
      </w:r>
      <w:r w:rsidR="00DC25D8">
        <w:t>an d</w:t>
      </w:r>
      <w:r w:rsidR="00DC25D8" w:rsidRPr="00E474D3">
        <w:t>engan penambahan</w:t>
      </w:r>
      <w:r w:rsidR="00DC25D8" w:rsidRPr="001C34C0">
        <w:rPr>
          <w:color w:val="FF0000"/>
        </w:rPr>
        <w:t xml:space="preserve"> </w:t>
      </w:r>
      <w:r w:rsidR="00DC25D8" w:rsidRPr="005925DD">
        <w:t>konsentrasi 5</w:t>
      </w:r>
      <w:r w:rsidR="00DC25D8">
        <w:t>-</w:t>
      </w:r>
      <w:r w:rsidR="00DC25D8" w:rsidRPr="005925DD">
        <w:t>7%</w:t>
      </w:r>
      <w:r w:rsidR="00C82838">
        <w:rPr>
          <w:lang w:val="id-ID"/>
        </w:rPr>
        <w:t xml:space="preserve"> </w:t>
      </w:r>
      <w:r w:rsidR="00DC25D8" w:rsidRPr="005925DD">
        <w:t xml:space="preserve">agar-agar memenuhi syarat SNI </w:t>
      </w:r>
      <w:r w:rsidR="00DC25D8" w:rsidRPr="005925DD">
        <w:rPr>
          <w:i/>
        </w:rPr>
        <w:t>jelly.</w:t>
      </w:r>
    </w:p>
    <w:p w14:paraId="48C90D51" w14:textId="77777777" w:rsidR="008F6CBE" w:rsidRDefault="008F6CBE" w:rsidP="002160F3">
      <w:pPr>
        <w:spacing w:before="240" w:after="120" w:line="276" w:lineRule="auto"/>
        <w:jc w:val="both"/>
        <w:rPr>
          <w:b/>
          <w:bCs/>
        </w:rPr>
      </w:pPr>
      <w:r w:rsidRPr="008F6CBE">
        <w:rPr>
          <w:b/>
        </w:rPr>
        <w:t xml:space="preserve">Karakteristik Sensori </w:t>
      </w:r>
      <w:r w:rsidRPr="008F6CBE">
        <w:rPr>
          <w:b/>
          <w:bCs/>
        </w:rPr>
        <w:t xml:space="preserve">Permen </w:t>
      </w:r>
      <w:r w:rsidRPr="008F6CBE">
        <w:rPr>
          <w:b/>
          <w:bCs/>
          <w:i/>
        </w:rPr>
        <w:t xml:space="preserve">Jelly </w:t>
      </w:r>
      <w:r w:rsidRPr="008F6CBE">
        <w:rPr>
          <w:b/>
          <w:bCs/>
        </w:rPr>
        <w:t>Cempedak (</w:t>
      </w:r>
      <w:r w:rsidRPr="008F6CBE">
        <w:rPr>
          <w:b/>
          <w:bCs/>
          <w:i/>
          <w:iCs/>
        </w:rPr>
        <w:t xml:space="preserve">Artocarpus integer </w:t>
      </w:r>
      <w:r w:rsidRPr="008F6CBE">
        <w:rPr>
          <w:b/>
          <w:bCs/>
        </w:rPr>
        <w:t>(Tunb.) Merr.)</w:t>
      </w:r>
    </w:p>
    <w:p w14:paraId="6410BF8E" w14:textId="77777777" w:rsidR="008F6CBE" w:rsidRPr="00C4317C" w:rsidRDefault="008F6CBE" w:rsidP="00353E0E">
      <w:pPr>
        <w:spacing w:line="276" w:lineRule="auto"/>
        <w:ind w:firstLine="426"/>
        <w:jc w:val="both"/>
        <w:rPr>
          <w:bCs/>
          <w:lang w:val="id-ID"/>
        </w:rPr>
      </w:pPr>
      <w:r>
        <w:rPr>
          <w:bCs/>
        </w:rPr>
        <w:t xml:space="preserve">Pengukuran karakteristik sensori permen </w:t>
      </w:r>
      <w:r>
        <w:rPr>
          <w:bCs/>
          <w:i/>
        </w:rPr>
        <w:t>jelly</w:t>
      </w:r>
      <w:r>
        <w:rPr>
          <w:bCs/>
        </w:rPr>
        <w:t xml:space="preserve"> cempedak dilakukan untuk memperoleh kualitas permen </w:t>
      </w:r>
      <w:r>
        <w:rPr>
          <w:bCs/>
          <w:i/>
        </w:rPr>
        <w:t>jelly</w:t>
      </w:r>
      <w:r>
        <w:rPr>
          <w:bCs/>
        </w:rPr>
        <w:t xml:space="preserve"> cempedak</w:t>
      </w:r>
      <w:r>
        <w:rPr>
          <w:bCs/>
          <w:i/>
        </w:rPr>
        <w:t xml:space="preserve"> </w:t>
      </w:r>
      <w:r>
        <w:rPr>
          <w:bCs/>
        </w:rPr>
        <w:t>terbaik serta sesuai dengan yang diharapkan.</w:t>
      </w:r>
      <w:r w:rsidR="00C4317C">
        <w:rPr>
          <w:bCs/>
          <w:lang w:val="id-ID"/>
        </w:rPr>
        <w:t xml:space="preserve"> Nilai karakteristik permen </w:t>
      </w:r>
      <w:r w:rsidR="00C4317C">
        <w:rPr>
          <w:bCs/>
          <w:i/>
          <w:lang w:val="id-ID"/>
        </w:rPr>
        <w:t xml:space="preserve">jelly </w:t>
      </w:r>
      <w:r w:rsidR="00C4317C">
        <w:rPr>
          <w:bCs/>
          <w:lang w:val="id-ID"/>
        </w:rPr>
        <w:t xml:space="preserve">cempedak disajikan pada Tabel 1. </w:t>
      </w:r>
    </w:p>
    <w:p w14:paraId="71919056" w14:textId="77777777" w:rsidR="008F6CBE" w:rsidRDefault="008F6CBE" w:rsidP="00A11DD1">
      <w:pPr>
        <w:spacing w:line="276" w:lineRule="auto"/>
        <w:jc w:val="both"/>
        <w:rPr>
          <w:b/>
          <w:bCs/>
          <w:lang w:val="id-ID"/>
        </w:rPr>
      </w:pPr>
    </w:p>
    <w:p w14:paraId="61B7FC3A" w14:textId="77777777" w:rsidR="008F6CBE" w:rsidRDefault="008F6CBE" w:rsidP="00A11DD1">
      <w:pPr>
        <w:spacing w:line="276" w:lineRule="auto"/>
        <w:rPr>
          <w:color w:val="000000"/>
          <w:sz w:val="20"/>
          <w:szCs w:val="20"/>
          <w:lang w:eastAsia="id-ID"/>
        </w:rPr>
      </w:pPr>
      <w:bookmarkStart w:id="11" w:name="_Hlk508055099"/>
    </w:p>
    <w:p w14:paraId="678AAE2D" w14:textId="77777777" w:rsidR="00353E0E" w:rsidRDefault="00353E0E" w:rsidP="00A11DD1">
      <w:pPr>
        <w:spacing w:line="276" w:lineRule="auto"/>
        <w:rPr>
          <w:color w:val="000000"/>
          <w:sz w:val="20"/>
          <w:szCs w:val="20"/>
          <w:lang w:eastAsia="id-ID"/>
        </w:rPr>
      </w:pPr>
    </w:p>
    <w:p w14:paraId="785B26B4" w14:textId="2711CC9B" w:rsidR="00353E0E" w:rsidRDefault="00353E0E" w:rsidP="00A11DD1">
      <w:pPr>
        <w:spacing w:line="276" w:lineRule="auto"/>
        <w:rPr>
          <w:color w:val="000000"/>
          <w:sz w:val="20"/>
          <w:szCs w:val="20"/>
          <w:lang w:eastAsia="id-ID"/>
        </w:rPr>
        <w:sectPr w:rsidR="00353E0E" w:rsidSect="00BB343B">
          <w:type w:val="continuous"/>
          <w:pgSz w:w="11906" w:h="16838"/>
          <w:pgMar w:top="1701" w:right="1701" w:bottom="1701" w:left="2268" w:header="709" w:footer="709" w:gutter="0"/>
          <w:cols w:num="2" w:space="566"/>
          <w:docGrid w:linePitch="360"/>
        </w:sectPr>
      </w:pPr>
    </w:p>
    <w:tbl>
      <w:tblPr>
        <w:tblW w:w="7984" w:type="dxa"/>
        <w:tblLook w:val="04A0" w:firstRow="1" w:lastRow="0" w:firstColumn="1" w:lastColumn="0" w:noHBand="0" w:noVBand="1"/>
      </w:tblPr>
      <w:tblGrid>
        <w:gridCol w:w="1384"/>
        <w:gridCol w:w="1134"/>
        <w:gridCol w:w="1134"/>
        <w:gridCol w:w="1026"/>
        <w:gridCol w:w="1116"/>
        <w:gridCol w:w="1118"/>
        <w:gridCol w:w="1051"/>
        <w:gridCol w:w="21"/>
      </w:tblGrid>
      <w:tr w:rsidR="00B175AF" w14:paraId="6CB8541E" w14:textId="77777777" w:rsidTr="00353E0E">
        <w:trPr>
          <w:gridAfter w:val="1"/>
          <w:wAfter w:w="21" w:type="dxa"/>
          <w:trHeight w:val="300"/>
        </w:trPr>
        <w:tc>
          <w:tcPr>
            <w:tcW w:w="7963" w:type="dxa"/>
            <w:gridSpan w:val="7"/>
            <w:tcBorders>
              <w:top w:val="single" w:sz="4" w:space="0" w:color="auto"/>
              <w:left w:val="nil"/>
              <w:bottom w:val="single" w:sz="4" w:space="0" w:color="auto"/>
              <w:right w:val="nil"/>
            </w:tcBorders>
            <w:noWrap/>
            <w:vAlign w:val="center"/>
          </w:tcPr>
          <w:p w14:paraId="0BB9A9EB" w14:textId="77777777" w:rsidR="00B175AF" w:rsidRPr="00A11DD1" w:rsidRDefault="004C2141" w:rsidP="0030699D">
            <w:pPr>
              <w:ind w:left="-110"/>
              <w:rPr>
                <w:color w:val="000000"/>
                <w:lang w:val="id-ID" w:eastAsia="id-ID"/>
              </w:rPr>
            </w:pPr>
            <w:r w:rsidRPr="00A11DD1">
              <w:rPr>
                <w:color w:val="000000"/>
                <w:lang w:val="id-ID" w:eastAsia="id-ID"/>
              </w:rPr>
              <w:lastRenderedPageBreak/>
              <w:t xml:space="preserve">Tabel </w:t>
            </w:r>
            <w:r w:rsidR="00C4317C">
              <w:rPr>
                <w:color w:val="000000"/>
                <w:lang w:val="id-ID" w:eastAsia="id-ID"/>
              </w:rPr>
              <w:t>1</w:t>
            </w:r>
            <w:r w:rsidRPr="00A11DD1">
              <w:rPr>
                <w:color w:val="000000"/>
                <w:lang w:val="id-ID" w:eastAsia="id-ID"/>
              </w:rPr>
              <w:t xml:space="preserve">. </w:t>
            </w:r>
            <w:r w:rsidRPr="00A11DD1">
              <w:rPr>
                <w:bCs/>
              </w:rPr>
              <w:t xml:space="preserve">Karakteristik Sensori Permen </w:t>
            </w:r>
            <w:r w:rsidRPr="00A11DD1">
              <w:rPr>
                <w:bCs/>
                <w:i/>
              </w:rPr>
              <w:t xml:space="preserve">Jelly </w:t>
            </w:r>
            <w:r w:rsidRPr="00A11DD1">
              <w:rPr>
                <w:bCs/>
              </w:rPr>
              <w:t>Cempedak</w:t>
            </w:r>
          </w:p>
        </w:tc>
      </w:tr>
      <w:tr w:rsidR="008F6CBE" w14:paraId="0AEF4170" w14:textId="77777777" w:rsidTr="00353E0E">
        <w:trPr>
          <w:trHeight w:val="300"/>
        </w:trPr>
        <w:tc>
          <w:tcPr>
            <w:tcW w:w="1384" w:type="dxa"/>
            <w:tcBorders>
              <w:top w:val="single" w:sz="4" w:space="0" w:color="auto"/>
              <w:left w:val="nil"/>
              <w:bottom w:val="single" w:sz="4" w:space="0" w:color="auto"/>
              <w:right w:val="nil"/>
            </w:tcBorders>
            <w:noWrap/>
            <w:vAlign w:val="center"/>
            <w:hideMark/>
          </w:tcPr>
          <w:p w14:paraId="767FE221" w14:textId="77777777" w:rsidR="008F6CBE" w:rsidRDefault="008F6CBE" w:rsidP="00D26C44">
            <w:pPr>
              <w:jc w:val="center"/>
              <w:rPr>
                <w:color w:val="000000"/>
                <w:sz w:val="20"/>
                <w:szCs w:val="20"/>
                <w:lang w:val="id-ID" w:eastAsia="id-ID"/>
              </w:rPr>
            </w:pPr>
            <w:r>
              <w:rPr>
                <w:color w:val="000000"/>
                <w:sz w:val="20"/>
                <w:szCs w:val="20"/>
                <w:lang w:eastAsia="id-ID"/>
              </w:rPr>
              <w:t>Agar-agar (%)</w:t>
            </w:r>
          </w:p>
        </w:tc>
        <w:tc>
          <w:tcPr>
            <w:tcW w:w="1134" w:type="dxa"/>
            <w:tcBorders>
              <w:top w:val="single" w:sz="4" w:space="0" w:color="auto"/>
              <w:left w:val="nil"/>
              <w:bottom w:val="single" w:sz="4" w:space="0" w:color="auto"/>
              <w:right w:val="nil"/>
            </w:tcBorders>
            <w:noWrap/>
            <w:vAlign w:val="center"/>
            <w:hideMark/>
          </w:tcPr>
          <w:p w14:paraId="23130719" w14:textId="77777777" w:rsidR="008F6CBE" w:rsidRDefault="008F6CBE" w:rsidP="00D26C44">
            <w:pPr>
              <w:jc w:val="center"/>
              <w:rPr>
                <w:color w:val="000000"/>
                <w:sz w:val="20"/>
                <w:szCs w:val="20"/>
                <w:lang w:eastAsia="id-ID"/>
              </w:rPr>
            </w:pPr>
            <w:r>
              <w:rPr>
                <w:color w:val="000000"/>
                <w:sz w:val="20"/>
                <w:szCs w:val="20"/>
                <w:lang w:eastAsia="id-ID"/>
              </w:rPr>
              <w:t>Kekerasan</w:t>
            </w:r>
          </w:p>
        </w:tc>
        <w:tc>
          <w:tcPr>
            <w:tcW w:w="1134" w:type="dxa"/>
            <w:tcBorders>
              <w:top w:val="single" w:sz="4" w:space="0" w:color="auto"/>
              <w:left w:val="nil"/>
              <w:bottom w:val="single" w:sz="4" w:space="0" w:color="auto"/>
              <w:right w:val="nil"/>
            </w:tcBorders>
            <w:noWrap/>
            <w:vAlign w:val="center"/>
            <w:hideMark/>
          </w:tcPr>
          <w:p w14:paraId="2C040E58" w14:textId="77777777" w:rsidR="008F6CBE" w:rsidRDefault="008F6CBE" w:rsidP="00D26C44">
            <w:pPr>
              <w:jc w:val="center"/>
              <w:rPr>
                <w:color w:val="000000"/>
                <w:sz w:val="20"/>
                <w:szCs w:val="20"/>
                <w:lang w:eastAsia="id-ID"/>
              </w:rPr>
            </w:pPr>
            <w:r>
              <w:rPr>
                <w:color w:val="000000"/>
                <w:sz w:val="20"/>
                <w:szCs w:val="20"/>
                <w:lang w:eastAsia="id-ID"/>
              </w:rPr>
              <w:t>Keasaman</w:t>
            </w:r>
          </w:p>
        </w:tc>
        <w:tc>
          <w:tcPr>
            <w:tcW w:w="1026" w:type="dxa"/>
            <w:tcBorders>
              <w:top w:val="single" w:sz="4" w:space="0" w:color="auto"/>
              <w:left w:val="nil"/>
              <w:bottom w:val="single" w:sz="4" w:space="0" w:color="auto"/>
              <w:right w:val="nil"/>
            </w:tcBorders>
            <w:noWrap/>
            <w:vAlign w:val="center"/>
            <w:hideMark/>
          </w:tcPr>
          <w:p w14:paraId="32A70BA7" w14:textId="77777777" w:rsidR="008F6CBE" w:rsidRDefault="008F6CBE" w:rsidP="00D26C44">
            <w:pPr>
              <w:jc w:val="center"/>
              <w:rPr>
                <w:color w:val="000000"/>
                <w:sz w:val="20"/>
                <w:szCs w:val="20"/>
                <w:lang w:eastAsia="id-ID"/>
              </w:rPr>
            </w:pPr>
            <w:r>
              <w:rPr>
                <w:color w:val="000000"/>
                <w:sz w:val="20"/>
                <w:szCs w:val="20"/>
                <w:lang w:eastAsia="id-ID"/>
              </w:rPr>
              <w:t>Warna</w:t>
            </w:r>
          </w:p>
        </w:tc>
        <w:tc>
          <w:tcPr>
            <w:tcW w:w="1116" w:type="dxa"/>
            <w:tcBorders>
              <w:top w:val="single" w:sz="4" w:space="0" w:color="auto"/>
              <w:left w:val="nil"/>
              <w:bottom w:val="single" w:sz="4" w:space="0" w:color="auto"/>
              <w:right w:val="nil"/>
            </w:tcBorders>
            <w:noWrap/>
            <w:vAlign w:val="center"/>
            <w:hideMark/>
          </w:tcPr>
          <w:p w14:paraId="4D76DCA9" w14:textId="77777777" w:rsidR="008F6CBE" w:rsidRDefault="008F6CBE" w:rsidP="00D26C44">
            <w:pPr>
              <w:jc w:val="center"/>
              <w:rPr>
                <w:color w:val="000000"/>
                <w:sz w:val="20"/>
                <w:szCs w:val="20"/>
                <w:lang w:eastAsia="id-ID"/>
              </w:rPr>
            </w:pPr>
            <w:r>
              <w:rPr>
                <w:color w:val="000000"/>
                <w:sz w:val="20"/>
                <w:szCs w:val="20"/>
                <w:lang w:eastAsia="id-ID"/>
              </w:rPr>
              <w:t>Kemanisan</w:t>
            </w:r>
          </w:p>
        </w:tc>
        <w:tc>
          <w:tcPr>
            <w:tcW w:w="1118" w:type="dxa"/>
            <w:tcBorders>
              <w:top w:val="single" w:sz="4" w:space="0" w:color="auto"/>
              <w:left w:val="nil"/>
              <w:bottom w:val="single" w:sz="4" w:space="0" w:color="auto"/>
              <w:right w:val="nil"/>
            </w:tcBorders>
            <w:noWrap/>
            <w:vAlign w:val="center"/>
            <w:hideMark/>
          </w:tcPr>
          <w:p w14:paraId="63FC14D0" w14:textId="77777777" w:rsidR="008F6CBE" w:rsidRDefault="008F6CBE" w:rsidP="00D26C44">
            <w:pPr>
              <w:jc w:val="center"/>
              <w:rPr>
                <w:color w:val="000000"/>
                <w:sz w:val="20"/>
                <w:szCs w:val="20"/>
                <w:lang w:eastAsia="id-ID"/>
              </w:rPr>
            </w:pPr>
            <w:r>
              <w:rPr>
                <w:color w:val="000000"/>
                <w:sz w:val="20"/>
                <w:szCs w:val="20"/>
                <w:lang w:eastAsia="id-ID"/>
              </w:rPr>
              <w:t>Kesukaan</w:t>
            </w:r>
          </w:p>
        </w:tc>
        <w:tc>
          <w:tcPr>
            <w:tcW w:w="1072" w:type="dxa"/>
            <w:gridSpan w:val="2"/>
            <w:tcBorders>
              <w:top w:val="single" w:sz="4" w:space="0" w:color="auto"/>
              <w:left w:val="nil"/>
              <w:bottom w:val="single" w:sz="4" w:space="0" w:color="auto"/>
              <w:right w:val="nil"/>
            </w:tcBorders>
            <w:noWrap/>
            <w:vAlign w:val="center"/>
            <w:hideMark/>
          </w:tcPr>
          <w:p w14:paraId="58B74C19" w14:textId="77777777" w:rsidR="008F6CBE" w:rsidRDefault="008F6CBE" w:rsidP="00D26C44">
            <w:pPr>
              <w:jc w:val="center"/>
              <w:rPr>
                <w:color w:val="000000"/>
                <w:sz w:val="20"/>
                <w:szCs w:val="20"/>
                <w:lang w:eastAsia="id-ID"/>
              </w:rPr>
            </w:pPr>
            <w:r>
              <w:rPr>
                <w:color w:val="000000"/>
                <w:sz w:val="20"/>
                <w:szCs w:val="20"/>
                <w:lang w:eastAsia="id-ID"/>
              </w:rPr>
              <w:t>Aroma Cempedak</w:t>
            </w:r>
          </w:p>
        </w:tc>
      </w:tr>
      <w:tr w:rsidR="00875A49" w14:paraId="01C8152A" w14:textId="77777777" w:rsidTr="00353E0E">
        <w:trPr>
          <w:trHeight w:val="300"/>
        </w:trPr>
        <w:tc>
          <w:tcPr>
            <w:tcW w:w="1384" w:type="dxa"/>
            <w:noWrap/>
            <w:vAlign w:val="center"/>
            <w:hideMark/>
          </w:tcPr>
          <w:p w14:paraId="17AE1DD0" w14:textId="77777777" w:rsidR="00875A49" w:rsidRDefault="00875A49" w:rsidP="00D26C44">
            <w:pPr>
              <w:jc w:val="center"/>
              <w:rPr>
                <w:color w:val="000000"/>
                <w:sz w:val="20"/>
                <w:szCs w:val="20"/>
                <w:lang w:eastAsia="id-ID"/>
              </w:rPr>
            </w:pPr>
            <w:r>
              <w:rPr>
                <w:color w:val="000000"/>
                <w:sz w:val="20"/>
                <w:szCs w:val="20"/>
                <w:lang w:eastAsia="id-ID"/>
              </w:rPr>
              <w:t>1</w:t>
            </w:r>
          </w:p>
        </w:tc>
        <w:tc>
          <w:tcPr>
            <w:tcW w:w="1134" w:type="dxa"/>
            <w:noWrap/>
            <w:vAlign w:val="center"/>
            <w:hideMark/>
          </w:tcPr>
          <w:p w14:paraId="0DBA69EA" w14:textId="77777777" w:rsidR="00875A49" w:rsidRPr="0047126F" w:rsidRDefault="00875A49" w:rsidP="00D26C44">
            <w:pPr>
              <w:jc w:val="center"/>
              <w:rPr>
                <w:color w:val="000000"/>
                <w:sz w:val="20"/>
                <w:szCs w:val="20"/>
                <w:lang w:eastAsia="id-ID"/>
              </w:rPr>
            </w:pPr>
            <w:r w:rsidRPr="0047126F">
              <w:rPr>
                <w:color w:val="000000"/>
                <w:sz w:val="20"/>
                <w:szCs w:val="20"/>
              </w:rPr>
              <w:t>1,10±0,55</w:t>
            </w:r>
          </w:p>
        </w:tc>
        <w:tc>
          <w:tcPr>
            <w:tcW w:w="1134" w:type="dxa"/>
            <w:noWrap/>
            <w:vAlign w:val="center"/>
            <w:hideMark/>
          </w:tcPr>
          <w:p w14:paraId="437DF612" w14:textId="77777777" w:rsidR="00875A49" w:rsidRDefault="00875A49" w:rsidP="00D26C44">
            <w:pPr>
              <w:jc w:val="center"/>
              <w:rPr>
                <w:color w:val="000000"/>
                <w:sz w:val="20"/>
                <w:szCs w:val="20"/>
                <w:lang w:eastAsia="id-ID"/>
              </w:rPr>
            </w:pPr>
            <w:r>
              <w:rPr>
                <w:color w:val="000000"/>
                <w:sz w:val="20"/>
                <w:szCs w:val="20"/>
                <w:lang w:eastAsia="id-ID"/>
              </w:rPr>
              <w:t>3,60±0,86</w:t>
            </w:r>
          </w:p>
        </w:tc>
        <w:tc>
          <w:tcPr>
            <w:tcW w:w="1026" w:type="dxa"/>
            <w:noWrap/>
            <w:vAlign w:val="center"/>
            <w:hideMark/>
          </w:tcPr>
          <w:p w14:paraId="5255F5FE" w14:textId="77777777" w:rsidR="00875A49" w:rsidRDefault="00875A49" w:rsidP="00D26C44">
            <w:pPr>
              <w:jc w:val="center"/>
              <w:rPr>
                <w:color w:val="000000"/>
                <w:sz w:val="20"/>
                <w:szCs w:val="20"/>
                <w:lang w:eastAsia="id-ID"/>
              </w:rPr>
            </w:pPr>
            <w:r>
              <w:rPr>
                <w:color w:val="000000"/>
                <w:sz w:val="20"/>
                <w:szCs w:val="20"/>
                <w:lang w:eastAsia="id-ID"/>
              </w:rPr>
              <w:t>2,83±0,87</w:t>
            </w:r>
          </w:p>
        </w:tc>
        <w:tc>
          <w:tcPr>
            <w:tcW w:w="1116" w:type="dxa"/>
            <w:noWrap/>
            <w:vAlign w:val="center"/>
            <w:hideMark/>
          </w:tcPr>
          <w:p w14:paraId="46CAE8DD" w14:textId="77777777" w:rsidR="00875A49" w:rsidRDefault="00875A49" w:rsidP="00D26C44">
            <w:pPr>
              <w:jc w:val="center"/>
              <w:rPr>
                <w:color w:val="000000"/>
                <w:sz w:val="20"/>
                <w:szCs w:val="20"/>
                <w:lang w:eastAsia="id-ID"/>
              </w:rPr>
            </w:pPr>
            <w:r>
              <w:rPr>
                <w:color w:val="000000"/>
                <w:sz w:val="20"/>
                <w:szCs w:val="20"/>
                <w:lang w:eastAsia="id-ID"/>
              </w:rPr>
              <w:t>3,63±0,61</w:t>
            </w:r>
          </w:p>
        </w:tc>
        <w:tc>
          <w:tcPr>
            <w:tcW w:w="1118" w:type="dxa"/>
            <w:noWrap/>
            <w:vAlign w:val="center"/>
            <w:hideMark/>
          </w:tcPr>
          <w:p w14:paraId="71544D16" w14:textId="77777777" w:rsidR="00875A49" w:rsidRDefault="00875A49" w:rsidP="00D26C44">
            <w:pPr>
              <w:jc w:val="center"/>
              <w:rPr>
                <w:color w:val="000000"/>
                <w:sz w:val="20"/>
                <w:szCs w:val="20"/>
                <w:lang w:eastAsia="id-ID"/>
              </w:rPr>
            </w:pPr>
            <w:r>
              <w:rPr>
                <w:color w:val="000000"/>
                <w:sz w:val="20"/>
                <w:szCs w:val="20"/>
                <w:lang w:eastAsia="id-ID"/>
              </w:rPr>
              <w:t>3,97±0,85</w:t>
            </w:r>
          </w:p>
        </w:tc>
        <w:tc>
          <w:tcPr>
            <w:tcW w:w="1072" w:type="dxa"/>
            <w:gridSpan w:val="2"/>
            <w:noWrap/>
            <w:vAlign w:val="center"/>
            <w:hideMark/>
          </w:tcPr>
          <w:p w14:paraId="4A1E26EC" w14:textId="77777777" w:rsidR="00875A49" w:rsidRPr="00182CC3" w:rsidRDefault="00875A49" w:rsidP="00D26C44">
            <w:pPr>
              <w:jc w:val="center"/>
              <w:rPr>
                <w:color w:val="000000"/>
                <w:sz w:val="20"/>
                <w:szCs w:val="20"/>
                <w:lang w:eastAsia="id-ID"/>
              </w:rPr>
            </w:pPr>
            <w:r w:rsidRPr="00182CC3">
              <w:rPr>
                <w:color w:val="000000"/>
                <w:sz w:val="20"/>
                <w:szCs w:val="20"/>
              </w:rPr>
              <w:t>3,60±0,77</w:t>
            </w:r>
          </w:p>
        </w:tc>
      </w:tr>
      <w:tr w:rsidR="00875A49" w14:paraId="2CC2401A" w14:textId="77777777" w:rsidTr="00353E0E">
        <w:trPr>
          <w:trHeight w:val="300"/>
        </w:trPr>
        <w:tc>
          <w:tcPr>
            <w:tcW w:w="1384" w:type="dxa"/>
            <w:noWrap/>
            <w:vAlign w:val="center"/>
            <w:hideMark/>
          </w:tcPr>
          <w:p w14:paraId="73E08F2C" w14:textId="77777777" w:rsidR="00875A49" w:rsidRDefault="00875A49" w:rsidP="00D26C44">
            <w:pPr>
              <w:jc w:val="center"/>
              <w:rPr>
                <w:color w:val="000000"/>
                <w:sz w:val="20"/>
                <w:szCs w:val="20"/>
                <w:lang w:eastAsia="id-ID"/>
              </w:rPr>
            </w:pPr>
            <w:r>
              <w:rPr>
                <w:color w:val="000000"/>
                <w:sz w:val="20"/>
                <w:szCs w:val="20"/>
                <w:lang w:eastAsia="id-ID"/>
              </w:rPr>
              <w:t>2</w:t>
            </w:r>
          </w:p>
        </w:tc>
        <w:tc>
          <w:tcPr>
            <w:tcW w:w="1134" w:type="dxa"/>
            <w:noWrap/>
            <w:vAlign w:val="center"/>
            <w:hideMark/>
          </w:tcPr>
          <w:p w14:paraId="08E17D8E" w14:textId="77777777" w:rsidR="00875A49" w:rsidRPr="0047126F" w:rsidRDefault="00875A49" w:rsidP="00D26C44">
            <w:pPr>
              <w:jc w:val="center"/>
              <w:rPr>
                <w:color w:val="000000"/>
                <w:sz w:val="20"/>
                <w:szCs w:val="20"/>
                <w:lang w:eastAsia="id-ID"/>
              </w:rPr>
            </w:pPr>
            <w:r w:rsidRPr="0047126F">
              <w:rPr>
                <w:color w:val="000000"/>
                <w:sz w:val="20"/>
                <w:szCs w:val="20"/>
              </w:rPr>
              <w:t>1,57±0,63</w:t>
            </w:r>
          </w:p>
        </w:tc>
        <w:tc>
          <w:tcPr>
            <w:tcW w:w="1134" w:type="dxa"/>
            <w:noWrap/>
            <w:vAlign w:val="center"/>
            <w:hideMark/>
          </w:tcPr>
          <w:p w14:paraId="4D9A70A6" w14:textId="77777777" w:rsidR="00875A49" w:rsidRDefault="00875A49" w:rsidP="00D26C44">
            <w:pPr>
              <w:jc w:val="center"/>
              <w:rPr>
                <w:color w:val="000000"/>
                <w:sz w:val="20"/>
                <w:szCs w:val="20"/>
                <w:lang w:eastAsia="id-ID"/>
              </w:rPr>
            </w:pPr>
            <w:r>
              <w:rPr>
                <w:color w:val="000000"/>
                <w:sz w:val="20"/>
                <w:szCs w:val="20"/>
                <w:lang w:eastAsia="id-ID"/>
              </w:rPr>
              <w:t>2,83±0,70</w:t>
            </w:r>
          </w:p>
        </w:tc>
        <w:tc>
          <w:tcPr>
            <w:tcW w:w="1026" w:type="dxa"/>
            <w:noWrap/>
            <w:vAlign w:val="center"/>
            <w:hideMark/>
          </w:tcPr>
          <w:p w14:paraId="38E075C2" w14:textId="77777777" w:rsidR="00875A49" w:rsidRDefault="00875A49" w:rsidP="00D26C44">
            <w:pPr>
              <w:jc w:val="center"/>
              <w:rPr>
                <w:color w:val="000000"/>
                <w:sz w:val="20"/>
                <w:szCs w:val="20"/>
                <w:lang w:eastAsia="id-ID"/>
              </w:rPr>
            </w:pPr>
            <w:r>
              <w:rPr>
                <w:color w:val="000000"/>
                <w:sz w:val="20"/>
                <w:szCs w:val="20"/>
                <w:lang w:eastAsia="id-ID"/>
              </w:rPr>
              <w:t>3,03±1,00</w:t>
            </w:r>
          </w:p>
        </w:tc>
        <w:tc>
          <w:tcPr>
            <w:tcW w:w="1116" w:type="dxa"/>
            <w:noWrap/>
            <w:vAlign w:val="center"/>
            <w:hideMark/>
          </w:tcPr>
          <w:p w14:paraId="16126B12" w14:textId="77777777" w:rsidR="00875A49" w:rsidRDefault="00875A49" w:rsidP="00D26C44">
            <w:pPr>
              <w:jc w:val="center"/>
              <w:rPr>
                <w:color w:val="000000"/>
                <w:sz w:val="20"/>
                <w:szCs w:val="20"/>
                <w:lang w:eastAsia="id-ID"/>
              </w:rPr>
            </w:pPr>
            <w:r>
              <w:rPr>
                <w:color w:val="000000"/>
                <w:sz w:val="20"/>
                <w:szCs w:val="20"/>
                <w:lang w:eastAsia="id-ID"/>
              </w:rPr>
              <w:t>3,47±0,68</w:t>
            </w:r>
          </w:p>
        </w:tc>
        <w:tc>
          <w:tcPr>
            <w:tcW w:w="1118" w:type="dxa"/>
            <w:noWrap/>
            <w:vAlign w:val="center"/>
            <w:hideMark/>
          </w:tcPr>
          <w:p w14:paraId="5BA251FA" w14:textId="77777777" w:rsidR="00875A49" w:rsidRDefault="00875A49" w:rsidP="00D26C44">
            <w:pPr>
              <w:jc w:val="center"/>
              <w:rPr>
                <w:color w:val="000000"/>
                <w:sz w:val="20"/>
                <w:szCs w:val="20"/>
                <w:lang w:eastAsia="id-ID"/>
              </w:rPr>
            </w:pPr>
            <w:r>
              <w:rPr>
                <w:color w:val="000000"/>
                <w:sz w:val="20"/>
                <w:szCs w:val="20"/>
                <w:lang w:eastAsia="id-ID"/>
              </w:rPr>
              <w:t>3,60±0,81</w:t>
            </w:r>
          </w:p>
        </w:tc>
        <w:tc>
          <w:tcPr>
            <w:tcW w:w="1072" w:type="dxa"/>
            <w:gridSpan w:val="2"/>
            <w:noWrap/>
            <w:vAlign w:val="center"/>
            <w:hideMark/>
          </w:tcPr>
          <w:p w14:paraId="7D2FC5C0" w14:textId="77777777" w:rsidR="00875A49" w:rsidRPr="00182CC3" w:rsidRDefault="00875A49" w:rsidP="00D26C44">
            <w:pPr>
              <w:jc w:val="center"/>
              <w:rPr>
                <w:color w:val="000000"/>
                <w:sz w:val="20"/>
                <w:szCs w:val="20"/>
                <w:lang w:eastAsia="id-ID"/>
              </w:rPr>
            </w:pPr>
            <w:r w:rsidRPr="00182CC3">
              <w:rPr>
                <w:color w:val="000000"/>
                <w:sz w:val="20"/>
                <w:szCs w:val="20"/>
              </w:rPr>
              <w:t>3,47±0,86</w:t>
            </w:r>
          </w:p>
        </w:tc>
      </w:tr>
      <w:tr w:rsidR="00875A49" w14:paraId="63E6E575" w14:textId="77777777" w:rsidTr="00353E0E">
        <w:trPr>
          <w:trHeight w:val="300"/>
        </w:trPr>
        <w:tc>
          <w:tcPr>
            <w:tcW w:w="1384" w:type="dxa"/>
            <w:noWrap/>
            <w:vAlign w:val="center"/>
            <w:hideMark/>
          </w:tcPr>
          <w:p w14:paraId="3321E7E8" w14:textId="77777777" w:rsidR="00875A49" w:rsidRDefault="00875A49" w:rsidP="00D26C44">
            <w:pPr>
              <w:jc w:val="center"/>
              <w:rPr>
                <w:color w:val="000000"/>
                <w:sz w:val="20"/>
                <w:szCs w:val="20"/>
                <w:lang w:eastAsia="id-ID"/>
              </w:rPr>
            </w:pPr>
            <w:r>
              <w:rPr>
                <w:color w:val="000000"/>
                <w:sz w:val="20"/>
                <w:szCs w:val="20"/>
                <w:lang w:eastAsia="id-ID"/>
              </w:rPr>
              <w:t>3</w:t>
            </w:r>
          </w:p>
        </w:tc>
        <w:tc>
          <w:tcPr>
            <w:tcW w:w="1134" w:type="dxa"/>
            <w:noWrap/>
            <w:vAlign w:val="center"/>
            <w:hideMark/>
          </w:tcPr>
          <w:p w14:paraId="36CA8D8B" w14:textId="77777777" w:rsidR="00875A49" w:rsidRPr="0047126F" w:rsidRDefault="00875A49" w:rsidP="00D26C44">
            <w:pPr>
              <w:jc w:val="center"/>
              <w:rPr>
                <w:color w:val="000000"/>
                <w:sz w:val="20"/>
                <w:szCs w:val="20"/>
                <w:lang w:eastAsia="id-ID"/>
              </w:rPr>
            </w:pPr>
            <w:r w:rsidRPr="0047126F">
              <w:rPr>
                <w:color w:val="000000"/>
                <w:sz w:val="20"/>
                <w:szCs w:val="20"/>
              </w:rPr>
              <w:t>1,90±0,66</w:t>
            </w:r>
          </w:p>
        </w:tc>
        <w:tc>
          <w:tcPr>
            <w:tcW w:w="1134" w:type="dxa"/>
            <w:noWrap/>
            <w:vAlign w:val="center"/>
            <w:hideMark/>
          </w:tcPr>
          <w:p w14:paraId="13A4D44E" w14:textId="77777777" w:rsidR="00875A49" w:rsidRDefault="00875A49" w:rsidP="00D26C44">
            <w:pPr>
              <w:jc w:val="center"/>
              <w:rPr>
                <w:color w:val="000000"/>
                <w:sz w:val="20"/>
                <w:szCs w:val="20"/>
                <w:lang w:eastAsia="id-ID"/>
              </w:rPr>
            </w:pPr>
            <w:r>
              <w:rPr>
                <w:color w:val="000000"/>
                <w:sz w:val="20"/>
                <w:szCs w:val="20"/>
                <w:lang w:eastAsia="id-ID"/>
              </w:rPr>
              <w:t>2,87±0,78</w:t>
            </w:r>
          </w:p>
        </w:tc>
        <w:tc>
          <w:tcPr>
            <w:tcW w:w="1026" w:type="dxa"/>
            <w:noWrap/>
            <w:vAlign w:val="center"/>
            <w:hideMark/>
          </w:tcPr>
          <w:p w14:paraId="357180C4" w14:textId="77777777" w:rsidR="00875A49" w:rsidRDefault="00875A49" w:rsidP="00D26C44">
            <w:pPr>
              <w:jc w:val="center"/>
              <w:rPr>
                <w:color w:val="000000"/>
                <w:sz w:val="20"/>
                <w:szCs w:val="20"/>
                <w:lang w:eastAsia="id-ID"/>
              </w:rPr>
            </w:pPr>
            <w:r>
              <w:rPr>
                <w:color w:val="000000"/>
                <w:sz w:val="20"/>
                <w:szCs w:val="20"/>
                <w:lang w:eastAsia="id-ID"/>
              </w:rPr>
              <w:t>3,47±0,78</w:t>
            </w:r>
          </w:p>
        </w:tc>
        <w:tc>
          <w:tcPr>
            <w:tcW w:w="1116" w:type="dxa"/>
            <w:noWrap/>
            <w:vAlign w:val="center"/>
            <w:hideMark/>
          </w:tcPr>
          <w:p w14:paraId="5E659D2B" w14:textId="77777777" w:rsidR="00875A49" w:rsidRDefault="00875A49" w:rsidP="00D26C44">
            <w:pPr>
              <w:jc w:val="center"/>
              <w:rPr>
                <w:color w:val="000000"/>
                <w:sz w:val="20"/>
                <w:szCs w:val="20"/>
                <w:lang w:eastAsia="id-ID"/>
              </w:rPr>
            </w:pPr>
            <w:r>
              <w:rPr>
                <w:color w:val="000000"/>
                <w:sz w:val="20"/>
                <w:szCs w:val="20"/>
                <w:lang w:eastAsia="id-ID"/>
              </w:rPr>
              <w:t>3,60±0,56</w:t>
            </w:r>
          </w:p>
        </w:tc>
        <w:tc>
          <w:tcPr>
            <w:tcW w:w="1118" w:type="dxa"/>
            <w:noWrap/>
            <w:vAlign w:val="center"/>
            <w:hideMark/>
          </w:tcPr>
          <w:p w14:paraId="7B4B5CC6" w14:textId="77777777" w:rsidR="00875A49" w:rsidRDefault="00875A49" w:rsidP="00D26C44">
            <w:pPr>
              <w:jc w:val="center"/>
              <w:rPr>
                <w:color w:val="000000"/>
                <w:sz w:val="20"/>
                <w:szCs w:val="20"/>
                <w:lang w:eastAsia="id-ID"/>
              </w:rPr>
            </w:pPr>
            <w:r>
              <w:rPr>
                <w:color w:val="000000"/>
                <w:sz w:val="20"/>
                <w:szCs w:val="20"/>
                <w:lang w:eastAsia="id-ID"/>
              </w:rPr>
              <w:t>3,80±0,66</w:t>
            </w:r>
          </w:p>
        </w:tc>
        <w:tc>
          <w:tcPr>
            <w:tcW w:w="1072" w:type="dxa"/>
            <w:gridSpan w:val="2"/>
            <w:noWrap/>
            <w:vAlign w:val="center"/>
            <w:hideMark/>
          </w:tcPr>
          <w:p w14:paraId="15331630" w14:textId="77777777" w:rsidR="00875A49" w:rsidRPr="00182CC3" w:rsidRDefault="00875A49" w:rsidP="00D26C44">
            <w:pPr>
              <w:jc w:val="center"/>
              <w:rPr>
                <w:color w:val="000000"/>
                <w:sz w:val="20"/>
                <w:szCs w:val="20"/>
                <w:lang w:eastAsia="id-ID"/>
              </w:rPr>
            </w:pPr>
            <w:r w:rsidRPr="00182CC3">
              <w:rPr>
                <w:color w:val="000000"/>
                <w:sz w:val="20"/>
                <w:szCs w:val="20"/>
              </w:rPr>
              <w:t>3,83±0,70</w:t>
            </w:r>
          </w:p>
        </w:tc>
      </w:tr>
      <w:tr w:rsidR="00875A49" w14:paraId="07656EB8" w14:textId="77777777" w:rsidTr="00353E0E">
        <w:trPr>
          <w:trHeight w:val="300"/>
        </w:trPr>
        <w:tc>
          <w:tcPr>
            <w:tcW w:w="1384" w:type="dxa"/>
            <w:noWrap/>
            <w:vAlign w:val="center"/>
            <w:hideMark/>
          </w:tcPr>
          <w:p w14:paraId="2BFDB849" w14:textId="77777777" w:rsidR="00875A49" w:rsidRDefault="00875A49" w:rsidP="00D26C44">
            <w:pPr>
              <w:jc w:val="center"/>
              <w:rPr>
                <w:color w:val="000000"/>
                <w:sz w:val="20"/>
                <w:szCs w:val="20"/>
                <w:lang w:eastAsia="id-ID"/>
              </w:rPr>
            </w:pPr>
            <w:r>
              <w:rPr>
                <w:color w:val="000000"/>
                <w:sz w:val="20"/>
                <w:szCs w:val="20"/>
                <w:lang w:eastAsia="id-ID"/>
              </w:rPr>
              <w:t>4</w:t>
            </w:r>
          </w:p>
        </w:tc>
        <w:tc>
          <w:tcPr>
            <w:tcW w:w="1134" w:type="dxa"/>
            <w:noWrap/>
            <w:vAlign w:val="center"/>
            <w:hideMark/>
          </w:tcPr>
          <w:p w14:paraId="3F9388E2" w14:textId="77777777" w:rsidR="00875A49" w:rsidRPr="0047126F" w:rsidRDefault="00875A49" w:rsidP="00D26C44">
            <w:pPr>
              <w:jc w:val="center"/>
              <w:rPr>
                <w:color w:val="000000"/>
                <w:sz w:val="20"/>
                <w:szCs w:val="20"/>
                <w:lang w:eastAsia="id-ID"/>
              </w:rPr>
            </w:pPr>
            <w:r w:rsidRPr="0047126F">
              <w:rPr>
                <w:color w:val="000000"/>
                <w:sz w:val="20"/>
                <w:szCs w:val="20"/>
              </w:rPr>
              <w:t>2,57±0,86</w:t>
            </w:r>
          </w:p>
        </w:tc>
        <w:tc>
          <w:tcPr>
            <w:tcW w:w="1134" w:type="dxa"/>
            <w:noWrap/>
            <w:vAlign w:val="center"/>
            <w:hideMark/>
          </w:tcPr>
          <w:p w14:paraId="19F72111" w14:textId="77777777" w:rsidR="00875A49" w:rsidRDefault="00875A49" w:rsidP="00D26C44">
            <w:pPr>
              <w:jc w:val="center"/>
              <w:rPr>
                <w:color w:val="000000"/>
                <w:sz w:val="20"/>
                <w:szCs w:val="20"/>
                <w:lang w:eastAsia="id-ID"/>
              </w:rPr>
            </w:pPr>
            <w:r>
              <w:rPr>
                <w:color w:val="000000"/>
                <w:sz w:val="20"/>
                <w:szCs w:val="20"/>
                <w:lang w:eastAsia="id-ID"/>
              </w:rPr>
              <w:t>2,67±0,66</w:t>
            </w:r>
          </w:p>
        </w:tc>
        <w:tc>
          <w:tcPr>
            <w:tcW w:w="1026" w:type="dxa"/>
            <w:noWrap/>
            <w:vAlign w:val="center"/>
            <w:hideMark/>
          </w:tcPr>
          <w:p w14:paraId="38BC5049" w14:textId="77777777" w:rsidR="00875A49" w:rsidRDefault="00875A49" w:rsidP="00D26C44">
            <w:pPr>
              <w:jc w:val="center"/>
              <w:rPr>
                <w:color w:val="000000"/>
                <w:sz w:val="20"/>
                <w:szCs w:val="20"/>
                <w:lang w:eastAsia="id-ID"/>
              </w:rPr>
            </w:pPr>
            <w:r>
              <w:rPr>
                <w:color w:val="000000"/>
                <w:sz w:val="20"/>
                <w:szCs w:val="20"/>
                <w:lang w:eastAsia="id-ID"/>
              </w:rPr>
              <w:t>2,87±0,97</w:t>
            </w:r>
          </w:p>
        </w:tc>
        <w:tc>
          <w:tcPr>
            <w:tcW w:w="1116" w:type="dxa"/>
            <w:noWrap/>
            <w:vAlign w:val="center"/>
            <w:hideMark/>
          </w:tcPr>
          <w:p w14:paraId="2B60C275" w14:textId="77777777" w:rsidR="00875A49" w:rsidRDefault="00875A49" w:rsidP="00D26C44">
            <w:pPr>
              <w:jc w:val="center"/>
              <w:rPr>
                <w:color w:val="000000"/>
                <w:sz w:val="20"/>
                <w:szCs w:val="20"/>
                <w:lang w:eastAsia="id-ID"/>
              </w:rPr>
            </w:pPr>
            <w:r>
              <w:rPr>
                <w:color w:val="000000"/>
                <w:sz w:val="20"/>
                <w:szCs w:val="20"/>
                <w:lang w:eastAsia="id-ID"/>
              </w:rPr>
              <w:t>3,30±0,65</w:t>
            </w:r>
          </w:p>
        </w:tc>
        <w:tc>
          <w:tcPr>
            <w:tcW w:w="1118" w:type="dxa"/>
            <w:noWrap/>
            <w:vAlign w:val="center"/>
            <w:hideMark/>
          </w:tcPr>
          <w:p w14:paraId="3A10D659" w14:textId="77777777" w:rsidR="00875A49" w:rsidRDefault="00875A49" w:rsidP="00D26C44">
            <w:pPr>
              <w:jc w:val="center"/>
              <w:rPr>
                <w:color w:val="000000"/>
                <w:sz w:val="20"/>
                <w:szCs w:val="20"/>
                <w:lang w:eastAsia="id-ID"/>
              </w:rPr>
            </w:pPr>
            <w:r>
              <w:rPr>
                <w:color w:val="000000"/>
                <w:sz w:val="20"/>
                <w:szCs w:val="20"/>
                <w:lang w:eastAsia="id-ID"/>
              </w:rPr>
              <w:t>3,00±0,69</w:t>
            </w:r>
          </w:p>
        </w:tc>
        <w:tc>
          <w:tcPr>
            <w:tcW w:w="1072" w:type="dxa"/>
            <w:gridSpan w:val="2"/>
            <w:noWrap/>
            <w:vAlign w:val="center"/>
            <w:hideMark/>
          </w:tcPr>
          <w:p w14:paraId="32FBF7FD" w14:textId="77777777" w:rsidR="00875A49" w:rsidRPr="00182CC3" w:rsidRDefault="00875A49" w:rsidP="00D26C44">
            <w:pPr>
              <w:jc w:val="center"/>
              <w:rPr>
                <w:color w:val="000000"/>
                <w:sz w:val="20"/>
                <w:szCs w:val="20"/>
                <w:lang w:eastAsia="id-ID"/>
              </w:rPr>
            </w:pPr>
            <w:r w:rsidRPr="00182CC3">
              <w:rPr>
                <w:color w:val="000000"/>
                <w:sz w:val="20"/>
                <w:szCs w:val="20"/>
              </w:rPr>
              <w:t>3,10±0,96</w:t>
            </w:r>
          </w:p>
        </w:tc>
      </w:tr>
      <w:tr w:rsidR="00875A49" w14:paraId="2E35B2A5" w14:textId="77777777" w:rsidTr="00353E0E">
        <w:trPr>
          <w:trHeight w:val="300"/>
        </w:trPr>
        <w:tc>
          <w:tcPr>
            <w:tcW w:w="1384" w:type="dxa"/>
            <w:noWrap/>
            <w:vAlign w:val="center"/>
            <w:hideMark/>
          </w:tcPr>
          <w:p w14:paraId="59553919" w14:textId="77777777" w:rsidR="00875A49" w:rsidRDefault="00875A49" w:rsidP="00D26C44">
            <w:pPr>
              <w:jc w:val="center"/>
              <w:rPr>
                <w:color w:val="000000"/>
                <w:sz w:val="20"/>
                <w:szCs w:val="20"/>
                <w:lang w:eastAsia="id-ID"/>
              </w:rPr>
            </w:pPr>
            <w:r>
              <w:rPr>
                <w:color w:val="000000"/>
                <w:sz w:val="20"/>
                <w:szCs w:val="20"/>
                <w:lang w:eastAsia="id-ID"/>
              </w:rPr>
              <w:t>5</w:t>
            </w:r>
          </w:p>
        </w:tc>
        <w:tc>
          <w:tcPr>
            <w:tcW w:w="1134" w:type="dxa"/>
            <w:noWrap/>
            <w:vAlign w:val="center"/>
            <w:hideMark/>
          </w:tcPr>
          <w:p w14:paraId="357C4D06" w14:textId="77777777" w:rsidR="00875A49" w:rsidRPr="0047126F" w:rsidRDefault="00875A49" w:rsidP="00D26C44">
            <w:pPr>
              <w:jc w:val="center"/>
              <w:rPr>
                <w:color w:val="000000"/>
                <w:sz w:val="20"/>
                <w:szCs w:val="20"/>
                <w:lang w:eastAsia="id-ID"/>
              </w:rPr>
            </w:pPr>
            <w:r w:rsidRPr="0047126F">
              <w:rPr>
                <w:color w:val="000000"/>
                <w:sz w:val="20"/>
                <w:szCs w:val="20"/>
              </w:rPr>
              <w:t>3,17±1,12</w:t>
            </w:r>
          </w:p>
        </w:tc>
        <w:tc>
          <w:tcPr>
            <w:tcW w:w="1134" w:type="dxa"/>
            <w:noWrap/>
            <w:vAlign w:val="center"/>
            <w:hideMark/>
          </w:tcPr>
          <w:p w14:paraId="7CA3A9F4" w14:textId="77777777" w:rsidR="00875A49" w:rsidRDefault="00875A49" w:rsidP="00D26C44">
            <w:pPr>
              <w:jc w:val="center"/>
              <w:rPr>
                <w:color w:val="000000"/>
                <w:sz w:val="20"/>
                <w:szCs w:val="20"/>
                <w:lang w:eastAsia="id-ID"/>
              </w:rPr>
            </w:pPr>
            <w:r>
              <w:rPr>
                <w:color w:val="000000"/>
                <w:sz w:val="20"/>
                <w:szCs w:val="20"/>
                <w:lang w:eastAsia="id-ID"/>
              </w:rPr>
              <w:t>2,37±0,61</w:t>
            </w:r>
          </w:p>
        </w:tc>
        <w:tc>
          <w:tcPr>
            <w:tcW w:w="1026" w:type="dxa"/>
            <w:noWrap/>
            <w:vAlign w:val="center"/>
            <w:hideMark/>
          </w:tcPr>
          <w:p w14:paraId="2DBC007C" w14:textId="77777777" w:rsidR="00875A49" w:rsidRDefault="00875A49" w:rsidP="00D26C44">
            <w:pPr>
              <w:jc w:val="center"/>
              <w:rPr>
                <w:color w:val="000000"/>
                <w:sz w:val="20"/>
                <w:szCs w:val="20"/>
                <w:lang w:eastAsia="id-ID"/>
              </w:rPr>
            </w:pPr>
            <w:r>
              <w:rPr>
                <w:color w:val="000000"/>
                <w:sz w:val="20"/>
                <w:szCs w:val="20"/>
                <w:lang w:eastAsia="id-ID"/>
              </w:rPr>
              <w:t>2,97±1,10</w:t>
            </w:r>
          </w:p>
        </w:tc>
        <w:tc>
          <w:tcPr>
            <w:tcW w:w="1116" w:type="dxa"/>
            <w:noWrap/>
            <w:vAlign w:val="center"/>
            <w:hideMark/>
          </w:tcPr>
          <w:p w14:paraId="206B5EDA" w14:textId="77777777" w:rsidR="00875A49" w:rsidRDefault="00875A49" w:rsidP="00D26C44">
            <w:pPr>
              <w:jc w:val="center"/>
              <w:rPr>
                <w:color w:val="000000"/>
                <w:sz w:val="20"/>
                <w:szCs w:val="20"/>
                <w:lang w:eastAsia="id-ID"/>
              </w:rPr>
            </w:pPr>
            <w:r>
              <w:rPr>
                <w:color w:val="000000"/>
                <w:sz w:val="20"/>
                <w:szCs w:val="20"/>
                <w:lang w:eastAsia="id-ID"/>
              </w:rPr>
              <w:t>3,20±0,66</w:t>
            </w:r>
          </w:p>
        </w:tc>
        <w:tc>
          <w:tcPr>
            <w:tcW w:w="1118" w:type="dxa"/>
            <w:noWrap/>
            <w:vAlign w:val="center"/>
            <w:hideMark/>
          </w:tcPr>
          <w:p w14:paraId="5222A7D0" w14:textId="77777777" w:rsidR="00875A49" w:rsidRDefault="00875A49" w:rsidP="00D26C44">
            <w:pPr>
              <w:jc w:val="center"/>
              <w:rPr>
                <w:color w:val="000000"/>
                <w:sz w:val="20"/>
                <w:szCs w:val="20"/>
                <w:lang w:eastAsia="id-ID"/>
              </w:rPr>
            </w:pPr>
            <w:r>
              <w:rPr>
                <w:color w:val="000000"/>
                <w:sz w:val="20"/>
                <w:szCs w:val="20"/>
                <w:lang w:eastAsia="id-ID"/>
              </w:rPr>
              <w:t>2,57±0,77</w:t>
            </w:r>
          </w:p>
        </w:tc>
        <w:tc>
          <w:tcPr>
            <w:tcW w:w="1072" w:type="dxa"/>
            <w:gridSpan w:val="2"/>
            <w:noWrap/>
            <w:vAlign w:val="center"/>
            <w:hideMark/>
          </w:tcPr>
          <w:p w14:paraId="168CAF81" w14:textId="77777777" w:rsidR="00875A49" w:rsidRPr="00182CC3" w:rsidRDefault="00875A49" w:rsidP="00D26C44">
            <w:pPr>
              <w:jc w:val="center"/>
              <w:rPr>
                <w:color w:val="000000"/>
                <w:sz w:val="20"/>
                <w:szCs w:val="20"/>
                <w:lang w:eastAsia="id-ID"/>
              </w:rPr>
            </w:pPr>
            <w:r w:rsidRPr="00182CC3">
              <w:rPr>
                <w:color w:val="000000"/>
                <w:sz w:val="20"/>
                <w:szCs w:val="20"/>
              </w:rPr>
              <w:t>3,23±0,77</w:t>
            </w:r>
          </w:p>
        </w:tc>
      </w:tr>
      <w:tr w:rsidR="00875A49" w14:paraId="5BED0943" w14:textId="77777777" w:rsidTr="00353E0E">
        <w:trPr>
          <w:trHeight w:val="300"/>
        </w:trPr>
        <w:tc>
          <w:tcPr>
            <w:tcW w:w="1384" w:type="dxa"/>
            <w:noWrap/>
            <w:vAlign w:val="center"/>
            <w:hideMark/>
          </w:tcPr>
          <w:p w14:paraId="5D13220E" w14:textId="77777777" w:rsidR="00875A49" w:rsidRDefault="00875A49" w:rsidP="00D26C44">
            <w:pPr>
              <w:jc w:val="center"/>
              <w:rPr>
                <w:color w:val="000000"/>
                <w:sz w:val="20"/>
                <w:szCs w:val="20"/>
                <w:lang w:eastAsia="id-ID"/>
              </w:rPr>
            </w:pPr>
            <w:r>
              <w:rPr>
                <w:color w:val="000000"/>
                <w:sz w:val="20"/>
                <w:szCs w:val="20"/>
                <w:lang w:eastAsia="id-ID"/>
              </w:rPr>
              <w:t>6</w:t>
            </w:r>
          </w:p>
        </w:tc>
        <w:tc>
          <w:tcPr>
            <w:tcW w:w="1134" w:type="dxa"/>
            <w:noWrap/>
            <w:vAlign w:val="center"/>
            <w:hideMark/>
          </w:tcPr>
          <w:p w14:paraId="420E632E" w14:textId="77777777" w:rsidR="00875A49" w:rsidRPr="0047126F" w:rsidRDefault="00875A49" w:rsidP="00D26C44">
            <w:pPr>
              <w:jc w:val="center"/>
              <w:rPr>
                <w:color w:val="000000"/>
                <w:sz w:val="20"/>
                <w:szCs w:val="20"/>
                <w:lang w:eastAsia="id-ID"/>
              </w:rPr>
            </w:pPr>
            <w:r w:rsidRPr="0047126F">
              <w:rPr>
                <w:color w:val="000000"/>
                <w:sz w:val="20"/>
                <w:szCs w:val="20"/>
              </w:rPr>
              <w:t>3,00±0,91</w:t>
            </w:r>
          </w:p>
        </w:tc>
        <w:tc>
          <w:tcPr>
            <w:tcW w:w="1134" w:type="dxa"/>
            <w:noWrap/>
            <w:vAlign w:val="center"/>
            <w:hideMark/>
          </w:tcPr>
          <w:p w14:paraId="3CFFAB5C" w14:textId="77777777" w:rsidR="00875A49" w:rsidRDefault="00875A49" w:rsidP="00D26C44">
            <w:pPr>
              <w:jc w:val="center"/>
              <w:rPr>
                <w:color w:val="000000"/>
                <w:sz w:val="20"/>
                <w:szCs w:val="20"/>
                <w:lang w:eastAsia="id-ID"/>
              </w:rPr>
            </w:pPr>
            <w:r>
              <w:rPr>
                <w:color w:val="000000"/>
                <w:sz w:val="20"/>
                <w:szCs w:val="20"/>
                <w:lang w:eastAsia="id-ID"/>
              </w:rPr>
              <w:t>2,60±0,77</w:t>
            </w:r>
          </w:p>
        </w:tc>
        <w:tc>
          <w:tcPr>
            <w:tcW w:w="1026" w:type="dxa"/>
            <w:noWrap/>
            <w:vAlign w:val="center"/>
            <w:hideMark/>
          </w:tcPr>
          <w:p w14:paraId="375DC57C" w14:textId="77777777" w:rsidR="00875A49" w:rsidRDefault="00875A49" w:rsidP="00D26C44">
            <w:pPr>
              <w:jc w:val="center"/>
              <w:rPr>
                <w:color w:val="000000"/>
                <w:sz w:val="20"/>
                <w:szCs w:val="20"/>
                <w:lang w:eastAsia="id-ID"/>
              </w:rPr>
            </w:pPr>
            <w:r>
              <w:rPr>
                <w:color w:val="000000"/>
                <w:sz w:val="20"/>
                <w:szCs w:val="20"/>
                <w:lang w:eastAsia="id-ID"/>
              </w:rPr>
              <w:t>2,87±0,94</w:t>
            </w:r>
          </w:p>
        </w:tc>
        <w:tc>
          <w:tcPr>
            <w:tcW w:w="1116" w:type="dxa"/>
            <w:noWrap/>
            <w:vAlign w:val="center"/>
            <w:hideMark/>
          </w:tcPr>
          <w:p w14:paraId="236DF074" w14:textId="77777777" w:rsidR="00875A49" w:rsidRDefault="00875A49" w:rsidP="00D26C44">
            <w:pPr>
              <w:jc w:val="center"/>
              <w:rPr>
                <w:color w:val="000000"/>
                <w:sz w:val="20"/>
                <w:szCs w:val="20"/>
                <w:lang w:eastAsia="id-ID"/>
              </w:rPr>
            </w:pPr>
            <w:r>
              <w:rPr>
                <w:color w:val="000000"/>
                <w:sz w:val="20"/>
                <w:szCs w:val="20"/>
                <w:lang w:eastAsia="id-ID"/>
              </w:rPr>
              <w:t>3,33±0,55</w:t>
            </w:r>
          </w:p>
        </w:tc>
        <w:tc>
          <w:tcPr>
            <w:tcW w:w="1118" w:type="dxa"/>
            <w:noWrap/>
            <w:vAlign w:val="center"/>
            <w:hideMark/>
          </w:tcPr>
          <w:p w14:paraId="4BAE53C7" w14:textId="77777777" w:rsidR="00875A49" w:rsidRDefault="00875A49" w:rsidP="00D26C44">
            <w:pPr>
              <w:jc w:val="center"/>
              <w:rPr>
                <w:color w:val="000000"/>
                <w:sz w:val="20"/>
                <w:szCs w:val="20"/>
                <w:lang w:eastAsia="id-ID"/>
              </w:rPr>
            </w:pPr>
            <w:r>
              <w:rPr>
                <w:color w:val="000000"/>
                <w:sz w:val="20"/>
                <w:szCs w:val="20"/>
                <w:lang w:eastAsia="id-ID"/>
              </w:rPr>
              <w:t>3,17±0,83</w:t>
            </w:r>
          </w:p>
        </w:tc>
        <w:tc>
          <w:tcPr>
            <w:tcW w:w="1072" w:type="dxa"/>
            <w:gridSpan w:val="2"/>
            <w:noWrap/>
            <w:vAlign w:val="center"/>
            <w:hideMark/>
          </w:tcPr>
          <w:p w14:paraId="79D0D7A0" w14:textId="77777777" w:rsidR="00875A49" w:rsidRPr="00182CC3" w:rsidRDefault="00875A49" w:rsidP="00D26C44">
            <w:pPr>
              <w:jc w:val="center"/>
              <w:rPr>
                <w:color w:val="000000"/>
                <w:sz w:val="20"/>
                <w:szCs w:val="20"/>
                <w:lang w:eastAsia="id-ID"/>
              </w:rPr>
            </w:pPr>
            <w:r w:rsidRPr="00182CC3">
              <w:rPr>
                <w:color w:val="000000"/>
                <w:sz w:val="20"/>
                <w:szCs w:val="20"/>
              </w:rPr>
              <w:t>3,30±0,88</w:t>
            </w:r>
          </w:p>
        </w:tc>
      </w:tr>
      <w:tr w:rsidR="00875A49" w14:paraId="2210A277" w14:textId="77777777" w:rsidTr="00353E0E">
        <w:trPr>
          <w:trHeight w:val="300"/>
        </w:trPr>
        <w:tc>
          <w:tcPr>
            <w:tcW w:w="1384" w:type="dxa"/>
            <w:noWrap/>
            <w:vAlign w:val="center"/>
            <w:hideMark/>
          </w:tcPr>
          <w:p w14:paraId="2F893E29" w14:textId="77777777" w:rsidR="00875A49" w:rsidRDefault="00875A49" w:rsidP="00D26C44">
            <w:pPr>
              <w:jc w:val="center"/>
              <w:rPr>
                <w:color w:val="000000"/>
                <w:sz w:val="20"/>
                <w:szCs w:val="20"/>
                <w:lang w:eastAsia="id-ID"/>
              </w:rPr>
            </w:pPr>
            <w:r>
              <w:rPr>
                <w:color w:val="000000"/>
                <w:sz w:val="20"/>
                <w:szCs w:val="20"/>
                <w:lang w:eastAsia="id-ID"/>
              </w:rPr>
              <w:t>7</w:t>
            </w:r>
          </w:p>
        </w:tc>
        <w:tc>
          <w:tcPr>
            <w:tcW w:w="1134" w:type="dxa"/>
            <w:noWrap/>
            <w:vAlign w:val="center"/>
            <w:hideMark/>
          </w:tcPr>
          <w:p w14:paraId="3F22772C" w14:textId="77777777" w:rsidR="00875A49" w:rsidRPr="0047126F" w:rsidRDefault="00875A49" w:rsidP="00D26C44">
            <w:pPr>
              <w:jc w:val="center"/>
              <w:rPr>
                <w:color w:val="000000"/>
                <w:sz w:val="20"/>
                <w:szCs w:val="20"/>
                <w:lang w:eastAsia="id-ID"/>
              </w:rPr>
            </w:pPr>
            <w:r w:rsidRPr="0047126F">
              <w:rPr>
                <w:color w:val="000000"/>
                <w:sz w:val="20"/>
                <w:szCs w:val="20"/>
              </w:rPr>
              <w:t>3,97±1,13</w:t>
            </w:r>
          </w:p>
        </w:tc>
        <w:tc>
          <w:tcPr>
            <w:tcW w:w="1134" w:type="dxa"/>
            <w:noWrap/>
            <w:vAlign w:val="center"/>
            <w:hideMark/>
          </w:tcPr>
          <w:p w14:paraId="2842A961" w14:textId="77777777" w:rsidR="00875A49" w:rsidRDefault="00875A49" w:rsidP="00D26C44">
            <w:pPr>
              <w:jc w:val="center"/>
              <w:rPr>
                <w:color w:val="000000"/>
                <w:sz w:val="20"/>
                <w:szCs w:val="20"/>
                <w:lang w:eastAsia="id-ID"/>
              </w:rPr>
            </w:pPr>
            <w:r>
              <w:rPr>
                <w:color w:val="000000"/>
                <w:sz w:val="20"/>
                <w:szCs w:val="20"/>
                <w:lang w:eastAsia="id-ID"/>
              </w:rPr>
              <w:t>2,27±0,58</w:t>
            </w:r>
          </w:p>
        </w:tc>
        <w:tc>
          <w:tcPr>
            <w:tcW w:w="1026" w:type="dxa"/>
            <w:noWrap/>
            <w:vAlign w:val="center"/>
            <w:hideMark/>
          </w:tcPr>
          <w:p w14:paraId="2068B247" w14:textId="77777777" w:rsidR="00875A49" w:rsidRDefault="00875A49" w:rsidP="00D26C44">
            <w:pPr>
              <w:jc w:val="center"/>
              <w:rPr>
                <w:color w:val="000000"/>
                <w:sz w:val="20"/>
                <w:szCs w:val="20"/>
                <w:lang w:eastAsia="id-ID"/>
              </w:rPr>
            </w:pPr>
            <w:r>
              <w:rPr>
                <w:color w:val="000000"/>
                <w:sz w:val="20"/>
                <w:szCs w:val="20"/>
                <w:lang w:eastAsia="id-ID"/>
              </w:rPr>
              <w:t>3,03±1,03</w:t>
            </w:r>
          </w:p>
        </w:tc>
        <w:tc>
          <w:tcPr>
            <w:tcW w:w="1116" w:type="dxa"/>
            <w:noWrap/>
            <w:vAlign w:val="center"/>
            <w:hideMark/>
          </w:tcPr>
          <w:p w14:paraId="6B8BFE92" w14:textId="77777777" w:rsidR="00875A49" w:rsidRDefault="00875A49" w:rsidP="00D26C44">
            <w:pPr>
              <w:jc w:val="center"/>
              <w:rPr>
                <w:color w:val="000000"/>
                <w:sz w:val="20"/>
                <w:szCs w:val="20"/>
                <w:lang w:eastAsia="id-ID"/>
              </w:rPr>
            </w:pPr>
            <w:r>
              <w:rPr>
                <w:color w:val="000000"/>
                <w:sz w:val="20"/>
                <w:szCs w:val="20"/>
                <w:lang w:eastAsia="id-ID"/>
              </w:rPr>
              <w:t>3,30±0,79</w:t>
            </w:r>
          </w:p>
        </w:tc>
        <w:tc>
          <w:tcPr>
            <w:tcW w:w="1118" w:type="dxa"/>
            <w:noWrap/>
            <w:vAlign w:val="center"/>
            <w:hideMark/>
          </w:tcPr>
          <w:p w14:paraId="74B20A64" w14:textId="77777777" w:rsidR="00875A49" w:rsidRDefault="00875A49" w:rsidP="00D26C44">
            <w:pPr>
              <w:jc w:val="center"/>
              <w:rPr>
                <w:color w:val="000000"/>
                <w:sz w:val="20"/>
                <w:szCs w:val="20"/>
                <w:lang w:eastAsia="id-ID"/>
              </w:rPr>
            </w:pPr>
            <w:r>
              <w:rPr>
                <w:color w:val="000000"/>
                <w:sz w:val="20"/>
                <w:szCs w:val="20"/>
                <w:lang w:eastAsia="id-ID"/>
              </w:rPr>
              <w:t>2,53±0,78</w:t>
            </w:r>
          </w:p>
        </w:tc>
        <w:tc>
          <w:tcPr>
            <w:tcW w:w="1072" w:type="dxa"/>
            <w:gridSpan w:val="2"/>
            <w:noWrap/>
            <w:vAlign w:val="center"/>
            <w:hideMark/>
          </w:tcPr>
          <w:p w14:paraId="6D459922" w14:textId="77777777" w:rsidR="00875A49" w:rsidRPr="00182CC3" w:rsidRDefault="00875A49" w:rsidP="00D26C44">
            <w:pPr>
              <w:jc w:val="center"/>
              <w:rPr>
                <w:color w:val="000000"/>
                <w:sz w:val="20"/>
                <w:szCs w:val="20"/>
                <w:lang w:eastAsia="id-ID"/>
              </w:rPr>
            </w:pPr>
            <w:r w:rsidRPr="00182CC3">
              <w:rPr>
                <w:color w:val="000000"/>
                <w:sz w:val="20"/>
                <w:szCs w:val="20"/>
              </w:rPr>
              <w:t>3,40±0,89</w:t>
            </w:r>
          </w:p>
        </w:tc>
      </w:tr>
      <w:tr w:rsidR="008F6CBE" w14:paraId="3B7D1363" w14:textId="77777777" w:rsidTr="00353E0E">
        <w:trPr>
          <w:trHeight w:val="300"/>
        </w:trPr>
        <w:tc>
          <w:tcPr>
            <w:tcW w:w="1384" w:type="dxa"/>
            <w:tcBorders>
              <w:top w:val="single" w:sz="4" w:space="0" w:color="auto"/>
              <w:left w:val="nil"/>
              <w:bottom w:val="single" w:sz="4" w:space="0" w:color="auto"/>
              <w:right w:val="nil"/>
            </w:tcBorders>
            <w:noWrap/>
            <w:vAlign w:val="center"/>
            <w:hideMark/>
          </w:tcPr>
          <w:p w14:paraId="73358578" w14:textId="77777777" w:rsidR="008F6CBE" w:rsidRDefault="008F6CBE" w:rsidP="00D26C44">
            <w:pPr>
              <w:jc w:val="center"/>
              <w:rPr>
                <w:color w:val="000000"/>
                <w:sz w:val="20"/>
                <w:szCs w:val="20"/>
                <w:lang w:eastAsia="id-ID"/>
              </w:rPr>
            </w:pPr>
            <w:r>
              <w:rPr>
                <w:color w:val="000000"/>
                <w:sz w:val="20"/>
                <w:szCs w:val="20"/>
                <w:lang w:eastAsia="id-ID"/>
              </w:rPr>
              <w:t>Chi 0,05 = 12,592</w:t>
            </w:r>
          </w:p>
        </w:tc>
        <w:tc>
          <w:tcPr>
            <w:tcW w:w="1134" w:type="dxa"/>
            <w:tcBorders>
              <w:top w:val="single" w:sz="4" w:space="0" w:color="auto"/>
              <w:left w:val="nil"/>
              <w:bottom w:val="single" w:sz="4" w:space="0" w:color="auto"/>
              <w:right w:val="nil"/>
            </w:tcBorders>
            <w:noWrap/>
            <w:vAlign w:val="center"/>
            <w:hideMark/>
          </w:tcPr>
          <w:p w14:paraId="674E4F6B" w14:textId="77777777" w:rsidR="008F6CBE" w:rsidRDefault="008F6CBE" w:rsidP="00D26C44">
            <w:pPr>
              <w:jc w:val="center"/>
              <w:rPr>
                <w:color w:val="000000"/>
                <w:sz w:val="20"/>
                <w:szCs w:val="20"/>
                <w:lang w:eastAsia="id-ID"/>
              </w:rPr>
            </w:pPr>
            <w:r>
              <w:rPr>
                <w:color w:val="000000"/>
                <w:sz w:val="20"/>
                <w:szCs w:val="20"/>
                <w:lang w:eastAsia="id-ID"/>
              </w:rPr>
              <w:t>KW = 111,32</w:t>
            </w:r>
          </w:p>
        </w:tc>
        <w:tc>
          <w:tcPr>
            <w:tcW w:w="1134" w:type="dxa"/>
            <w:tcBorders>
              <w:top w:val="single" w:sz="4" w:space="0" w:color="auto"/>
              <w:left w:val="nil"/>
              <w:bottom w:val="single" w:sz="4" w:space="0" w:color="auto"/>
              <w:right w:val="nil"/>
            </w:tcBorders>
            <w:noWrap/>
            <w:vAlign w:val="center"/>
            <w:hideMark/>
          </w:tcPr>
          <w:p w14:paraId="42499B68" w14:textId="77777777" w:rsidR="008F6CBE" w:rsidRDefault="008F6CBE" w:rsidP="00D26C44">
            <w:pPr>
              <w:jc w:val="center"/>
              <w:rPr>
                <w:color w:val="000000"/>
                <w:sz w:val="20"/>
                <w:szCs w:val="20"/>
                <w:lang w:eastAsia="id-ID"/>
              </w:rPr>
            </w:pPr>
            <w:r>
              <w:rPr>
                <w:color w:val="000000"/>
                <w:sz w:val="20"/>
                <w:szCs w:val="20"/>
                <w:lang w:eastAsia="id-ID"/>
              </w:rPr>
              <w:t>KW = 59,74</w:t>
            </w:r>
          </w:p>
        </w:tc>
        <w:tc>
          <w:tcPr>
            <w:tcW w:w="1026" w:type="dxa"/>
            <w:tcBorders>
              <w:top w:val="single" w:sz="4" w:space="0" w:color="auto"/>
              <w:left w:val="nil"/>
              <w:bottom w:val="single" w:sz="4" w:space="0" w:color="auto"/>
              <w:right w:val="nil"/>
            </w:tcBorders>
            <w:noWrap/>
            <w:vAlign w:val="center"/>
            <w:hideMark/>
          </w:tcPr>
          <w:p w14:paraId="1CDBAEF6" w14:textId="77777777" w:rsidR="008F6CBE" w:rsidRDefault="008F6CBE" w:rsidP="00D26C44">
            <w:pPr>
              <w:jc w:val="center"/>
              <w:rPr>
                <w:color w:val="000000"/>
                <w:sz w:val="20"/>
                <w:szCs w:val="20"/>
                <w:lang w:eastAsia="id-ID"/>
              </w:rPr>
            </w:pPr>
            <w:r>
              <w:rPr>
                <w:color w:val="000000"/>
                <w:sz w:val="20"/>
                <w:szCs w:val="20"/>
                <w:lang w:eastAsia="id-ID"/>
              </w:rPr>
              <w:t>KW = 8,77</w:t>
            </w:r>
          </w:p>
        </w:tc>
        <w:tc>
          <w:tcPr>
            <w:tcW w:w="1116" w:type="dxa"/>
            <w:tcBorders>
              <w:top w:val="single" w:sz="4" w:space="0" w:color="auto"/>
              <w:left w:val="nil"/>
              <w:bottom w:val="single" w:sz="4" w:space="0" w:color="auto"/>
              <w:right w:val="nil"/>
            </w:tcBorders>
            <w:noWrap/>
            <w:vAlign w:val="center"/>
            <w:hideMark/>
          </w:tcPr>
          <w:p w14:paraId="32D3E677" w14:textId="77777777" w:rsidR="008F6CBE" w:rsidRDefault="008F6CBE" w:rsidP="00D26C44">
            <w:pPr>
              <w:jc w:val="center"/>
              <w:rPr>
                <w:color w:val="000000"/>
                <w:sz w:val="20"/>
                <w:szCs w:val="20"/>
                <w:lang w:eastAsia="id-ID"/>
              </w:rPr>
            </w:pPr>
            <w:r>
              <w:rPr>
                <w:color w:val="000000"/>
                <w:sz w:val="20"/>
                <w:szCs w:val="20"/>
                <w:lang w:eastAsia="id-ID"/>
              </w:rPr>
              <w:t>KW =  8,94</w:t>
            </w:r>
          </w:p>
        </w:tc>
        <w:tc>
          <w:tcPr>
            <w:tcW w:w="1118" w:type="dxa"/>
            <w:tcBorders>
              <w:top w:val="single" w:sz="4" w:space="0" w:color="auto"/>
              <w:left w:val="nil"/>
              <w:bottom w:val="single" w:sz="4" w:space="0" w:color="auto"/>
              <w:right w:val="nil"/>
            </w:tcBorders>
            <w:noWrap/>
            <w:vAlign w:val="center"/>
            <w:hideMark/>
          </w:tcPr>
          <w:p w14:paraId="063D2792" w14:textId="77777777" w:rsidR="008F6CBE" w:rsidRDefault="008F6CBE" w:rsidP="00D26C44">
            <w:pPr>
              <w:jc w:val="center"/>
              <w:rPr>
                <w:color w:val="000000"/>
                <w:sz w:val="20"/>
                <w:szCs w:val="20"/>
                <w:lang w:eastAsia="id-ID"/>
              </w:rPr>
            </w:pPr>
            <w:r>
              <w:rPr>
                <w:color w:val="000000"/>
                <w:sz w:val="20"/>
                <w:szCs w:val="20"/>
                <w:lang w:eastAsia="id-ID"/>
              </w:rPr>
              <w:t>KW = 10,83</w:t>
            </w:r>
          </w:p>
        </w:tc>
        <w:tc>
          <w:tcPr>
            <w:tcW w:w="1072" w:type="dxa"/>
            <w:gridSpan w:val="2"/>
            <w:tcBorders>
              <w:top w:val="single" w:sz="4" w:space="0" w:color="auto"/>
              <w:left w:val="nil"/>
              <w:bottom w:val="single" w:sz="4" w:space="0" w:color="auto"/>
              <w:right w:val="nil"/>
            </w:tcBorders>
            <w:noWrap/>
            <w:vAlign w:val="center"/>
            <w:hideMark/>
          </w:tcPr>
          <w:p w14:paraId="7323B253" w14:textId="77777777" w:rsidR="008F6CBE" w:rsidRDefault="008F6CBE" w:rsidP="00D26C44">
            <w:pPr>
              <w:jc w:val="center"/>
              <w:rPr>
                <w:color w:val="000000"/>
                <w:sz w:val="20"/>
                <w:szCs w:val="20"/>
                <w:lang w:eastAsia="id-ID"/>
              </w:rPr>
            </w:pPr>
            <w:r>
              <w:rPr>
                <w:color w:val="000000"/>
                <w:sz w:val="20"/>
                <w:szCs w:val="20"/>
                <w:lang w:eastAsia="id-ID"/>
              </w:rPr>
              <w:t>KW = 1,42</w:t>
            </w:r>
          </w:p>
        </w:tc>
        <w:bookmarkEnd w:id="11"/>
      </w:tr>
    </w:tbl>
    <w:p w14:paraId="485D92E8" w14:textId="77777777" w:rsidR="008F6CBE" w:rsidRDefault="008F6CBE" w:rsidP="00A11DD1">
      <w:pPr>
        <w:spacing w:line="276" w:lineRule="auto"/>
        <w:jc w:val="both"/>
        <w:rPr>
          <w:b/>
          <w:bCs/>
          <w:lang w:val="id-ID"/>
        </w:rPr>
        <w:sectPr w:rsidR="008F6CBE" w:rsidSect="00BB343B">
          <w:type w:val="continuous"/>
          <w:pgSz w:w="11906" w:h="16838"/>
          <w:pgMar w:top="1701" w:right="1701" w:bottom="1701" w:left="2268" w:header="709" w:footer="709" w:gutter="0"/>
          <w:cols w:space="566"/>
          <w:docGrid w:linePitch="360"/>
        </w:sectPr>
      </w:pPr>
    </w:p>
    <w:p w14:paraId="630A884D" w14:textId="5999215C" w:rsidR="0053123C" w:rsidRDefault="0026258E" w:rsidP="00353E0E">
      <w:pPr>
        <w:spacing w:line="276" w:lineRule="auto"/>
        <w:ind w:firstLine="426"/>
        <w:jc w:val="both"/>
        <w:rPr>
          <w:rFonts w:eastAsia="ArialNarrow"/>
        </w:rPr>
      </w:pPr>
      <w:r>
        <w:rPr>
          <w:bCs/>
        </w:rPr>
        <w:t>Hasil analisis</w:t>
      </w:r>
      <w:r w:rsidRPr="005925DD">
        <w:rPr>
          <w:bCs/>
        </w:rPr>
        <w:t xml:space="preserve"> Kruskall Wallis (Tabel </w:t>
      </w:r>
      <w:r>
        <w:rPr>
          <w:bCs/>
        </w:rPr>
        <w:t>1</w:t>
      </w:r>
      <w:r w:rsidRPr="005925DD">
        <w:rPr>
          <w:bCs/>
        </w:rPr>
        <w:t>)</w:t>
      </w:r>
      <w:r>
        <w:rPr>
          <w:bCs/>
        </w:rPr>
        <w:t xml:space="preserve"> permen </w:t>
      </w:r>
      <w:r>
        <w:rPr>
          <w:bCs/>
          <w:i/>
        </w:rPr>
        <w:t xml:space="preserve">jelly </w:t>
      </w:r>
      <w:r>
        <w:rPr>
          <w:bCs/>
        </w:rPr>
        <w:t>cempedak, menunjukkan</w:t>
      </w:r>
      <w:r w:rsidRPr="005925DD">
        <w:rPr>
          <w:bCs/>
        </w:rPr>
        <w:t xml:space="preserve"> konsentrasi agar-agar berpengaruh nyata terhadap kekerasan</w:t>
      </w:r>
      <w:r>
        <w:rPr>
          <w:bCs/>
        </w:rPr>
        <w:t xml:space="preserve"> dan</w:t>
      </w:r>
      <w:r w:rsidRPr="005925DD">
        <w:rPr>
          <w:bCs/>
        </w:rPr>
        <w:t xml:space="preserve"> keasaman yang dihasilkan</w:t>
      </w:r>
      <w:r>
        <w:rPr>
          <w:bCs/>
        </w:rPr>
        <w:t>,</w:t>
      </w:r>
      <w:r w:rsidRPr="005925DD">
        <w:rPr>
          <w:bCs/>
        </w:rPr>
        <w:t xml:space="preserve"> </w:t>
      </w:r>
      <w:r>
        <w:rPr>
          <w:bCs/>
        </w:rPr>
        <w:t>tetapi</w:t>
      </w:r>
      <w:r w:rsidRPr="005925DD">
        <w:rPr>
          <w:bCs/>
        </w:rPr>
        <w:t xml:space="preserve"> berpen</w:t>
      </w:r>
      <w:r w:rsidRPr="0013263E">
        <w:rPr>
          <w:bCs/>
        </w:rPr>
        <w:t xml:space="preserve">garuh tidak nyata </w:t>
      </w:r>
      <w:r>
        <w:rPr>
          <w:bCs/>
        </w:rPr>
        <w:t>pada</w:t>
      </w:r>
      <w:r w:rsidRPr="0013263E">
        <w:rPr>
          <w:bCs/>
        </w:rPr>
        <w:t xml:space="preserve"> w</w:t>
      </w:r>
      <w:r w:rsidRPr="00D719C8">
        <w:rPr>
          <w:bCs/>
        </w:rPr>
        <w:t xml:space="preserve">arna, kemanisan, aroma dan kesukaan. </w:t>
      </w:r>
      <w:r w:rsidRPr="00D719C8">
        <w:rPr>
          <w:rFonts w:eastAsia="ArialNarrow"/>
        </w:rPr>
        <w:t>Putri dkk</w:t>
      </w:r>
      <w:r>
        <w:rPr>
          <w:rFonts w:eastAsia="ArialNarrow"/>
        </w:rPr>
        <w:t>.</w:t>
      </w:r>
      <w:r w:rsidRPr="00D719C8">
        <w:rPr>
          <w:rFonts w:eastAsia="ArialNarrow"/>
        </w:rPr>
        <w:t xml:space="preserve"> (2013)</w:t>
      </w:r>
      <w:r>
        <w:rPr>
          <w:rFonts w:eastAsia="ArialNarrow"/>
        </w:rPr>
        <w:t>, menerangkan</w:t>
      </w:r>
      <w:r w:rsidRPr="00D719C8">
        <w:rPr>
          <w:rFonts w:eastAsia="ArialNarrow"/>
        </w:rPr>
        <w:t xml:space="preserve"> bahwa penambahan</w:t>
      </w:r>
      <w:r>
        <w:rPr>
          <w:rFonts w:eastAsia="ArialNarrow"/>
        </w:rPr>
        <w:t xml:space="preserve"> </w:t>
      </w:r>
      <w:r w:rsidRPr="00D719C8">
        <w:rPr>
          <w:rFonts w:eastAsia="ArialNarrow"/>
        </w:rPr>
        <w:t>konsentrasi hidrokoloid menghasilkan tekstur</w:t>
      </w:r>
      <w:r>
        <w:rPr>
          <w:rFonts w:eastAsia="ArialNarrow"/>
        </w:rPr>
        <w:t xml:space="preserve"> </w:t>
      </w:r>
      <w:r w:rsidRPr="00D719C8">
        <w:rPr>
          <w:rFonts w:eastAsia="ArialNarrow"/>
        </w:rPr>
        <w:t>yang semakin rekat sehingga tekstur yang</w:t>
      </w:r>
      <w:r>
        <w:rPr>
          <w:rFonts w:eastAsia="ArialNarrow"/>
        </w:rPr>
        <w:t xml:space="preserve"> </w:t>
      </w:r>
      <w:r w:rsidRPr="00D719C8">
        <w:rPr>
          <w:rFonts w:eastAsia="ArialNarrow"/>
        </w:rPr>
        <w:t>dihasilkan lebih kompak dan plastis.</w:t>
      </w:r>
    </w:p>
    <w:p w14:paraId="2C1439BC" w14:textId="77777777" w:rsidR="00353E0E" w:rsidRDefault="0026258E" w:rsidP="00353E0E">
      <w:pPr>
        <w:autoSpaceDE w:val="0"/>
        <w:autoSpaceDN w:val="0"/>
        <w:adjustRightInd w:val="0"/>
        <w:spacing w:line="276" w:lineRule="auto"/>
        <w:ind w:firstLine="426"/>
        <w:jc w:val="both"/>
      </w:pPr>
      <w:r w:rsidRPr="005925DD">
        <w:rPr>
          <w:bCs/>
        </w:rPr>
        <w:t xml:space="preserve">Rasa asam yang dihasilkan oleh permen </w:t>
      </w:r>
      <w:r w:rsidRPr="005925DD">
        <w:rPr>
          <w:bCs/>
          <w:i/>
        </w:rPr>
        <w:t xml:space="preserve">jelly </w:t>
      </w:r>
      <w:r w:rsidRPr="005925DD">
        <w:rPr>
          <w:bCs/>
        </w:rPr>
        <w:t>cempedak berasal dari asam sitrat yang ditambahkan pada saat pembuatan.</w:t>
      </w:r>
      <w:r w:rsidRPr="0026258E">
        <w:t xml:space="preserve"> </w:t>
      </w:r>
      <w:r>
        <w:t>Penambahan konsentrasi agar-agar memberikan kecendrungan penurunan terhadap nilai rasa asam oleh panelis.</w:t>
      </w:r>
      <w:r w:rsidRPr="0026258E">
        <w:t xml:space="preserve"> </w:t>
      </w:r>
      <w:r>
        <w:t>R</w:t>
      </w:r>
      <w:r w:rsidRPr="008D7698">
        <w:t xml:space="preserve">erata nilai tingkat keasaman </w:t>
      </w:r>
      <w:r>
        <w:t>pada uji sensori berkisar antara</w:t>
      </w:r>
      <w:r w:rsidRPr="008D7698">
        <w:t xml:space="preserve"> 2,27 (tidak asam) sampai 3,60 (asam).</w:t>
      </w:r>
    </w:p>
    <w:p w14:paraId="484D1A55" w14:textId="6DDC00B6" w:rsidR="009618E9" w:rsidRDefault="009618E9" w:rsidP="00353E0E">
      <w:pPr>
        <w:autoSpaceDE w:val="0"/>
        <w:autoSpaceDN w:val="0"/>
        <w:adjustRightInd w:val="0"/>
        <w:spacing w:line="276" w:lineRule="auto"/>
        <w:ind w:firstLine="426"/>
        <w:jc w:val="both"/>
      </w:pPr>
      <w:r>
        <w:rPr>
          <w:bCs/>
        </w:rPr>
        <w:t xml:space="preserve">Atribut </w:t>
      </w:r>
      <w:r w:rsidRPr="00594A11">
        <w:rPr>
          <w:bCs/>
        </w:rPr>
        <w:t>warna</w:t>
      </w:r>
      <w:r>
        <w:rPr>
          <w:bCs/>
        </w:rPr>
        <w:t xml:space="preserve"> secara visual</w:t>
      </w:r>
      <w:r w:rsidRPr="00594A11">
        <w:rPr>
          <w:bCs/>
        </w:rPr>
        <w:t xml:space="preserve"> tampil </w:t>
      </w:r>
      <w:r w:rsidRPr="005925DD">
        <w:rPr>
          <w:bCs/>
        </w:rPr>
        <w:t>lebih dahulu dalam penentuan mutu bahan pangan.</w:t>
      </w:r>
      <w:r w:rsidRPr="005925DD">
        <w:t xml:space="preserve"> </w:t>
      </w:r>
      <w:r>
        <w:t>Parameter Warna pada uji sensori yang dihasilkan disajikan pada Ta</w:t>
      </w:r>
      <w:r>
        <w:rPr>
          <w:lang w:val="id-ID"/>
        </w:rPr>
        <w:t>bel 1</w:t>
      </w:r>
      <w:r>
        <w:t xml:space="preserve"> menunjukkan warna berbeda tidak nyata terhadap konsentrasi agar-agar yang berbeda.</w:t>
      </w:r>
      <w:r>
        <w:rPr>
          <w:lang w:val="id-ID"/>
        </w:rPr>
        <w:t xml:space="preserve"> </w:t>
      </w:r>
      <w:r>
        <w:t>R</w:t>
      </w:r>
      <w:r w:rsidRPr="008D7698">
        <w:t xml:space="preserve">erata nilai </w:t>
      </w:r>
      <w:r>
        <w:t xml:space="preserve">hasil uji sensori terhadap </w:t>
      </w:r>
      <w:r>
        <w:t>warna berkisar antara</w:t>
      </w:r>
      <w:r w:rsidRPr="005925DD">
        <w:t xml:space="preserve"> 2,</w:t>
      </w:r>
      <w:r>
        <w:t>83</w:t>
      </w:r>
      <w:r w:rsidRPr="005925DD">
        <w:t xml:space="preserve"> (agak kuning) sampai 3,</w:t>
      </w:r>
      <w:r>
        <w:t>47</w:t>
      </w:r>
      <w:r w:rsidRPr="005925DD">
        <w:t xml:space="preserve"> (kuning).</w:t>
      </w:r>
    </w:p>
    <w:p w14:paraId="3D188535" w14:textId="77777777" w:rsidR="00353E0E" w:rsidRDefault="00EF6D2D" w:rsidP="00353E0E">
      <w:pPr>
        <w:spacing w:line="276" w:lineRule="auto"/>
        <w:ind w:firstLine="426"/>
        <w:jc w:val="both"/>
      </w:pPr>
      <w:r w:rsidRPr="005925DD">
        <w:t xml:space="preserve">Nilai rerata kemanisan (Tabel </w:t>
      </w:r>
      <w:r>
        <w:rPr>
          <w:lang w:val="id-ID"/>
        </w:rPr>
        <w:t>1</w:t>
      </w:r>
      <w:r w:rsidRPr="005925DD">
        <w:t>), menunjukkan bahwa</w:t>
      </w:r>
      <w:r>
        <w:t xml:space="preserve"> p</w:t>
      </w:r>
      <w:r w:rsidRPr="005925DD">
        <w:t>enambahan konsentrasi agar-agar</w:t>
      </w:r>
      <w:r>
        <w:t xml:space="preserve"> yang berbeda</w:t>
      </w:r>
      <w:r w:rsidRPr="005925DD">
        <w:t xml:space="preserve"> memiliki pengaruh tidak nyata terhadap tingkat kemanisan permen </w:t>
      </w:r>
      <w:r w:rsidRPr="005925DD">
        <w:rPr>
          <w:i/>
        </w:rPr>
        <w:t xml:space="preserve">jelly </w:t>
      </w:r>
      <w:r w:rsidRPr="005925DD">
        <w:t>cempedak</w:t>
      </w:r>
      <w:r>
        <w:rPr>
          <w:lang w:val="id-ID"/>
        </w:rPr>
        <w:t>.</w:t>
      </w:r>
      <w:r w:rsidRPr="00EF6D2D">
        <w:t xml:space="preserve"> </w:t>
      </w:r>
      <w:r>
        <w:t>Nilai R</w:t>
      </w:r>
      <w:r w:rsidRPr="008D7698">
        <w:t xml:space="preserve">erata nilai </w:t>
      </w:r>
      <w:r>
        <w:t>hasil uji sensori terhadap kemanisan berkisar</w:t>
      </w:r>
      <w:r w:rsidRPr="005925DD">
        <w:t xml:space="preserve"> 3,2</w:t>
      </w:r>
      <w:r>
        <w:t>0</w:t>
      </w:r>
      <w:r w:rsidRPr="005925DD">
        <w:t xml:space="preserve"> (agak manis) sampai dengan 3,6</w:t>
      </w:r>
      <w:r>
        <w:t>3</w:t>
      </w:r>
      <w:r w:rsidRPr="005925DD">
        <w:t xml:space="preserve"> (manis).</w:t>
      </w:r>
    </w:p>
    <w:p w14:paraId="788D5BFC" w14:textId="77777777" w:rsidR="00353E0E" w:rsidRDefault="00726A0F" w:rsidP="00353E0E">
      <w:pPr>
        <w:spacing w:line="276" w:lineRule="auto"/>
        <w:ind w:firstLine="426"/>
        <w:jc w:val="both"/>
      </w:pPr>
      <w:r w:rsidRPr="005925DD">
        <w:t xml:space="preserve">Aroma permen </w:t>
      </w:r>
      <w:r w:rsidRPr="005925DD">
        <w:rPr>
          <w:i/>
        </w:rPr>
        <w:t xml:space="preserve">jelly </w:t>
      </w:r>
      <w:r w:rsidRPr="005925DD">
        <w:t xml:space="preserve">cempedak dihasilkan dari perpaduan aroma khas dari cempedak, gula dan asam yang ditambahkan. Berdasarkan nilai rerata aroma cempedak (Tabel </w:t>
      </w:r>
      <w:r>
        <w:t>1</w:t>
      </w:r>
      <w:r w:rsidRPr="005925DD">
        <w:t xml:space="preserve">), kriteria </w:t>
      </w:r>
      <w:r w:rsidRPr="00AB3EC1">
        <w:t>pe</w:t>
      </w:r>
      <w:r w:rsidRPr="00C0135C">
        <w:t>nilaian meliputi aroma 3,10 (agak wangi) sampai dengan 3,83 (wangi). Hasil penilaian ini menunjukkan bahwa pemberian agar-agar dengan konsentrasi yang berbeda memiliki pengaruh tidak nyata terhadap aroma cempedak yang dihasilkan.</w:t>
      </w:r>
    </w:p>
    <w:p w14:paraId="4EECD35A" w14:textId="52EA10A5" w:rsidR="003A3812" w:rsidRDefault="003A3812" w:rsidP="00353E0E">
      <w:pPr>
        <w:spacing w:line="276" w:lineRule="auto"/>
        <w:ind w:firstLine="426"/>
        <w:jc w:val="both"/>
      </w:pPr>
      <w:r w:rsidRPr="005925DD">
        <w:t xml:space="preserve">Berdasarkan nilai rerata kesukaan (Tabel </w:t>
      </w:r>
      <w:r>
        <w:t>19</w:t>
      </w:r>
      <w:r w:rsidRPr="005925DD">
        <w:t xml:space="preserve">). Kriteria penilaian meliputi 2,53 (agak suka) sampai dengan </w:t>
      </w:r>
      <w:r>
        <w:t>3,97</w:t>
      </w:r>
      <w:r w:rsidRPr="005925DD">
        <w:t xml:space="preserve"> (suka). Hasil nilai rerata menunjukkan bahwa pemberian konsentrasi agar-agar yang berbeda memberikan </w:t>
      </w:r>
      <w:r w:rsidRPr="005925DD">
        <w:lastRenderedPageBreak/>
        <w:t xml:space="preserve">pengaruh </w:t>
      </w:r>
      <w:r>
        <w:t xml:space="preserve">tidak </w:t>
      </w:r>
      <w:r w:rsidRPr="005925DD">
        <w:t>nyata terhadap nilai kesuka</w:t>
      </w:r>
      <w:r>
        <w:t>a</w:t>
      </w:r>
      <w:r w:rsidRPr="005925DD">
        <w:t>n panelis.</w:t>
      </w:r>
    </w:p>
    <w:p w14:paraId="1B76C831" w14:textId="77777777" w:rsidR="0053123C" w:rsidRDefault="0053123C" w:rsidP="002160F3">
      <w:pPr>
        <w:spacing w:before="240" w:after="120" w:line="276" w:lineRule="auto"/>
        <w:jc w:val="both"/>
        <w:rPr>
          <w:b/>
          <w:i/>
          <w:lang w:val="id-ID"/>
        </w:rPr>
      </w:pPr>
      <w:r>
        <w:rPr>
          <w:b/>
          <w:i/>
          <w:lang w:val="id-ID"/>
        </w:rPr>
        <w:t>Nilai Perlakuan Terbaik</w:t>
      </w:r>
    </w:p>
    <w:p w14:paraId="36EABA52" w14:textId="02DB69BD" w:rsidR="0053123C" w:rsidRDefault="0053123C" w:rsidP="00C0371D">
      <w:pPr>
        <w:spacing w:line="276" w:lineRule="auto"/>
        <w:ind w:firstLine="426"/>
        <w:jc w:val="both"/>
      </w:pPr>
      <w:r>
        <w:t xml:space="preserve">Berdasarkan karakteristik fisikokimia dan sensori permen </w:t>
      </w:r>
      <w:r>
        <w:rPr>
          <w:i/>
        </w:rPr>
        <w:t xml:space="preserve">jelly </w:t>
      </w:r>
      <w:r>
        <w:t>cempedak dilakukan analisis perlakuan terbaik dengan uji indeks efektifitas (De Garmo dkk., 1984).</w:t>
      </w:r>
      <w:r>
        <w:rPr>
          <w:lang w:val="id-ID"/>
        </w:rPr>
        <w:t xml:space="preserve"> </w:t>
      </w:r>
      <w:r>
        <w:t>Berdasarkan hasil analisis</w:t>
      </w:r>
      <w:r>
        <w:rPr>
          <w:lang w:val="id-ID"/>
        </w:rPr>
        <w:t xml:space="preserve"> </w:t>
      </w:r>
      <w:r>
        <w:t>menunjukkan perlakuan terbaik terdapat pada perlakuan 3 % agar-agar</w:t>
      </w:r>
      <w:r>
        <w:rPr>
          <w:lang w:val="id-ID"/>
        </w:rPr>
        <w:t xml:space="preserve">. </w:t>
      </w:r>
      <w:r>
        <w:t xml:space="preserve">Hasil perhitungan nilai perlakuan (NP) terbaik pada perlakuan 3 % agar-agar menghasilkan rerata uji fisikokimia berupa kadar air (12,48 %), kadar abu (0,29 %), total padatan terlarut (25,13 </w:t>
      </w:r>
      <w:r>
        <w:rPr>
          <w:vertAlign w:val="superscript"/>
        </w:rPr>
        <w:t>0</w:t>
      </w:r>
      <w:r>
        <w:t>brix)</w:t>
      </w:r>
      <w:r w:rsidR="008526BA">
        <w:rPr>
          <w:lang w:val="id-ID"/>
        </w:rPr>
        <w:t>.</w:t>
      </w:r>
      <w:r>
        <w:t xml:space="preserve"> Hasil uji organoleptik terbaik yaitu kekerasan </w:t>
      </w:r>
      <w:r w:rsidR="00D2772B">
        <w:rPr>
          <w:lang w:val="id-ID"/>
        </w:rPr>
        <w:t>1,90</w:t>
      </w:r>
      <w:r>
        <w:t xml:space="preserve"> (agak keras), keasaman 2,87 (agak asam), warna 3,47 (agak kuning), kemanisan 3,60 (manis), aroma cempedak 3,8</w:t>
      </w:r>
      <w:r w:rsidR="00D2772B">
        <w:rPr>
          <w:lang w:val="id-ID"/>
        </w:rPr>
        <w:t>3</w:t>
      </w:r>
      <w:r>
        <w:t xml:space="preserve"> (</w:t>
      </w:r>
      <w:r w:rsidR="00D2772B">
        <w:rPr>
          <w:lang w:val="id-ID"/>
        </w:rPr>
        <w:t>wangi</w:t>
      </w:r>
      <w:r>
        <w:t>) dan kesukaan 3,80 (suka).</w:t>
      </w:r>
    </w:p>
    <w:p w14:paraId="5D4A9C57" w14:textId="7A8F6DC4" w:rsidR="0053123C" w:rsidRDefault="0053123C" w:rsidP="002160F3">
      <w:pPr>
        <w:spacing w:before="240" w:after="120" w:line="276" w:lineRule="auto"/>
        <w:jc w:val="both"/>
        <w:rPr>
          <w:b/>
          <w:lang w:val="id-ID"/>
        </w:rPr>
      </w:pPr>
      <w:r>
        <w:rPr>
          <w:b/>
          <w:lang w:val="id-ID"/>
        </w:rPr>
        <w:t>K</w:t>
      </w:r>
      <w:r w:rsidR="009F1BFE">
        <w:rPr>
          <w:b/>
          <w:lang w:val="id-ID"/>
        </w:rPr>
        <w:t>esimpulan</w:t>
      </w:r>
    </w:p>
    <w:p w14:paraId="0781515A" w14:textId="334B4FBB" w:rsidR="00A54055" w:rsidRDefault="00F12062" w:rsidP="002160F3">
      <w:pPr>
        <w:spacing w:line="276" w:lineRule="auto"/>
        <w:ind w:firstLine="426"/>
        <w:jc w:val="both"/>
      </w:pPr>
      <w:bookmarkStart w:id="12" w:name="_Hlk508063490"/>
      <w:r>
        <w:t>Formulasi</w:t>
      </w:r>
      <w:r w:rsidRPr="007219FA">
        <w:t xml:space="preserve"> terbaik</w:t>
      </w:r>
      <w:r>
        <w:t xml:space="preserve"> untuk pembuatan permen </w:t>
      </w:r>
      <w:r>
        <w:rPr>
          <w:i/>
        </w:rPr>
        <w:t xml:space="preserve">jelly </w:t>
      </w:r>
      <w:r>
        <w:t>cempedak yaitu menggunakan</w:t>
      </w:r>
      <w:r w:rsidRPr="007219FA">
        <w:t xml:space="preserve"> </w:t>
      </w:r>
      <w:r>
        <w:t xml:space="preserve">gula 40 %, sari buah cempedak 60 % (b/b), asam sitrat 0,5 % dan </w:t>
      </w:r>
      <w:r w:rsidRPr="007219FA">
        <w:t>agar-agar</w:t>
      </w:r>
      <w:r>
        <w:t xml:space="preserve"> 3 %.</w:t>
      </w:r>
      <w:r w:rsidRPr="007219FA">
        <w:t xml:space="preserve"> </w:t>
      </w:r>
      <w:r>
        <w:t xml:space="preserve">Karakteristik </w:t>
      </w:r>
      <w:r w:rsidRPr="007219FA">
        <w:t xml:space="preserve">fisikokimia </w:t>
      </w:r>
      <w:r>
        <w:t xml:space="preserve">permen </w:t>
      </w:r>
      <w:r w:rsidRPr="008F3F1B">
        <w:rPr>
          <w:i/>
        </w:rPr>
        <w:t>jelly</w:t>
      </w:r>
      <w:r>
        <w:t xml:space="preserve"> cempedak yang dihasilkan yaitu </w:t>
      </w:r>
      <w:r w:rsidRPr="007219FA">
        <w:t xml:space="preserve">kadar air (12,48 %), kadar abu (0,29 %), total padatan terlarut (25,13 </w:t>
      </w:r>
      <w:r w:rsidRPr="007219FA">
        <w:rPr>
          <w:vertAlign w:val="superscript"/>
        </w:rPr>
        <w:t>0</w:t>
      </w:r>
      <w:r w:rsidRPr="007219FA">
        <w:t xml:space="preserve">brix). </w:t>
      </w:r>
      <w:r>
        <w:t xml:space="preserve">Karakteristik sensori </w:t>
      </w:r>
      <w:r>
        <w:rPr>
          <w:i/>
        </w:rPr>
        <w:t xml:space="preserve">jelly </w:t>
      </w:r>
      <w:r>
        <w:t>terbaik yaitu</w:t>
      </w:r>
      <w:r w:rsidRPr="007219FA">
        <w:t xml:space="preserve"> </w:t>
      </w:r>
      <w:r>
        <w:t>kekerasan 4,10 (agak keras), keasaman 2,87 (agak asam), warna 3,47 (agak kuning), kemanisan 3,60 (manis), aroma cempedak 3,80 (ada) dan kesukaan 3,80 (suka).</w:t>
      </w:r>
      <w:bookmarkEnd w:id="12"/>
    </w:p>
    <w:p w14:paraId="6B3E7553" w14:textId="77777777" w:rsidR="002160F3" w:rsidRPr="002160F3" w:rsidRDefault="002160F3" w:rsidP="002160F3">
      <w:pPr>
        <w:spacing w:line="276" w:lineRule="auto"/>
        <w:ind w:firstLine="426"/>
        <w:jc w:val="both"/>
        <w:rPr>
          <w:color w:val="FF0000"/>
        </w:rPr>
      </w:pPr>
    </w:p>
    <w:p w14:paraId="071AA2F2" w14:textId="7FFB247D" w:rsidR="005F0459" w:rsidRDefault="005F0459" w:rsidP="002160F3">
      <w:pPr>
        <w:spacing w:before="240" w:after="120" w:line="276" w:lineRule="auto"/>
        <w:jc w:val="both"/>
        <w:rPr>
          <w:b/>
          <w:lang w:val="id-ID"/>
        </w:rPr>
      </w:pPr>
      <w:r>
        <w:rPr>
          <w:b/>
          <w:lang w:val="id-ID"/>
        </w:rPr>
        <w:t>S</w:t>
      </w:r>
      <w:r w:rsidR="002160F3">
        <w:rPr>
          <w:b/>
          <w:lang w:val="id-ID"/>
        </w:rPr>
        <w:t>aran</w:t>
      </w:r>
    </w:p>
    <w:p w14:paraId="23E9C8B3" w14:textId="77777777" w:rsidR="00A11DD1" w:rsidRDefault="00F12062" w:rsidP="00A11DD1">
      <w:pPr>
        <w:spacing w:line="276" w:lineRule="auto"/>
        <w:jc w:val="both"/>
      </w:pPr>
      <w:r>
        <w:t xml:space="preserve">Penelitian </w:t>
      </w:r>
      <w:r w:rsidRPr="007219FA">
        <w:t xml:space="preserve">permen </w:t>
      </w:r>
      <w:r w:rsidRPr="007219FA">
        <w:rPr>
          <w:i/>
        </w:rPr>
        <w:t xml:space="preserve">jelly </w:t>
      </w:r>
      <w:r w:rsidRPr="007219FA">
        <w:t>cempedak</w:t>
      </w:r>
      <w:r>
        <w:t xml:space="preserve"> perlu dilakukan penelitian lanjutan untuk mengetahui pengaruh jumlah asam sitrat yang berbeda-beda terhadap mutu permen </w:t>
      </w:r>
      <w:r>
        <w:rPr>
          <w:i/>
        </w:rPr>
        <w:t xml:space="preserve">jelly </w:t>
      </w:r>
      <w:r>
        <w:t>cempedak.</w:t>
      </w:r>
    </w:p>
    <w:p w14:paraId="5DB4CD12" w14:textId="28C7E8A7" w:rsidR="00E8448C" w:rsidRPr="00E8448C" w:rsidRDefault="00A54055" w:rsidP="002160F3">
      <w:pPr>
        <w:spacing w:before="240" w:after="120" w:line="276" w:lineRule="auto"/>
        <w:jc w:val="both"/>
        <w:rPr>
          <w:b/>
          <w:lang w:val="id-ID"/>
        </w:rPr>
      </w:pPr>
      <w:r>
        <w:rPr>
          <w:b/>
          <w:lang w:val="id-ID"/>
        </w:rPr>
        <w:t>D</w:t>
      </w:r>
      <w:r w:rsidR="009F1BFE">
        <w:rPr>
          <w:b/>
          <w:lang w:val="id-ID"/>
        </w:rPr>
        <w:t>aftar Pustaka</w:t>
      </w:r>
    </w:p>
    <w:p w14:paraId="241DCE0E" w14:textId="77777777" w:rsidR="00253D16" w:rsidRPr="00253D16" w:rsidRDefault="00253D16" w:rsidP="008A5D72">
      <w:pPr>
        <w:spacing w:before="120" w:after="120"/>
        <w:ind w:left="709" w:hanging="709"/>
        <w:jc w:val="both"/>
        <w:rPr>
          <w:rStyle w:val="A4"/>
          <w:rFonts w:ascii="Times New Roman" w:hAnsi="Times New Roman"/>
          <w:sz w:val="24"/>
          <w:szCs w:val="24"/>
        </w:rPr>
      </w:pPr>
      <w:r w:rsidRPr="00253D16">
        <w:rPr>
          <w:bCs/>
        </w:rPr>
        <w:t>Arif, A., B. Wahyu., D. Enrico., S. Suyanti. dan Setyadjit., 2014</w:t>
      </w:r>
      <w:r w:rsidRPr="00253D16">
        <w:rPr>
          <w:bCs/>
          <w:i/>
        </w:rPr>
        <w:t xml:space="preserve">, </w:t>
      </w:r>
      <w:r w:rsidRPr="00253D16">
        <w:rPr>
          <w:bCs/>
          <w:i/>
          <w:color w:val="000000"/>
        </w:rPr>
        <w:t xml:space="preserve">Optimalisasi Cara Pemeraman Buah Cempedak (Artocarpus Champeden), </w:t>
      </w:r>
      <w:r w:rsidRPr="00253D16">
        <w:rPr>
          <w:rStyle w:val="A4"/>
          <w:rFonts w:ascii="Times New Roman" w:hAnsi="Times New Roman"/>
          <w:sz w:val="24"/>
          <w:szCs w:val="24"/>
        </w:rPr>
        <w:t>Balai Besar Penelitian dan Pengembangan Pascapanen Pertanian, Bogor.</w:t>
      </w:r>
    </w:p>
    <w:p w14:paraId="33C817A3" w14:textId="77777777" w:rsidR="00253D16" w:rsidRPr="00253D16" w:rsidRDefault="00253D16" w:rsidP="00253D16">
      <w:pPr>
        <w:pStyle w:val="Default"/>
        <w:ind w:left="720" w:hanging="720"/>
        <w:jc w:val="both"/>
        <w:rPr>
          <w:bCs/>
        </w:rPr>
      </w:pPr>
      <w:r w:rsidRPr="00253D16">
        <w:rPr>
          <w:bCs/>
        </w:rPr>
        <w:t xml:space="preserve">Bait, Y., 2012, Formulasi Permen Jelly Dari Sari Jagung Dan Rumput Laut. </w:t>
      </w:r>
      <w:r w:rsidRPr="00253D16">
        <w:rPr>
          <w:bCs/>
          <w:i/>
        </w:rPr>
        <w:t xml:space="preserve">Laporan Penelitian Berorientasi Produk Dana, </w:t>
      </w:r>
      <w:r w:rsidRPr="00253D16">
        <w:rPr>
          <w:bCs/>
        </w:rPr>
        <w:t>Universitas Negeri Gorontalo, Gorontalo.</w:t>
      </w:r>
    </w:p>
    <w:p w14:paraId="0730A7AE" w14:textId="77777777" w:rsidR="00253D16" w:rsidRPr="00253D16" w:rsidRDefault="00253D16" w:rsidP="008A5D72">
      <w:pPr>
        <w:spacing w:before="120" w:after="120"/>
        <w:ind w:left="709" w:hanging="709"/>
        <w:jc w:val="both"/>
      </w:pPr>
      <w:r w:rsidRPr="00253D16">
        <w:t xml:space="preserve">De Garmo, E.D., W.G. Sullivan. dan J.R Canada., 1984, </w:t>
      </w:r>
      <w:r w:rsidRPr="00253D16">
        <w:rPr>
          <w:bCs/>
          <w:i/>
          <w:iCs/>
        </w:rPr>
        <w:t>Engineering Economy</w:t>
      </w:r>
      <w:r w:rsidRPr="00253D16">
        <w:t>, Milan Publishing Company, New York.</w:t>
      </w:r>
    </w:p>
    <w:p w14:paraId="6313BF20" w14:textId="77777777" w:rsidR="00253D16" w:rsidRPr="00253D16" w:rsidRDefault="00253D16" w:rsidP="008A5D72">
      <w:pPr>
        <w:spacing w:before="120" w:after="120"/>
        <w:ind w:left="720" w:hanging="720"/>
        <w:jc w:val="both"/>
      </w:pPr>
      <w:r w:rsidRPr="00253D16">
        <w:t xml:space="preserve">Farikha, I. N., Anam, C. dan Widowati, E., 2013, Pengaruh Jenis Dan Konsentrasi Bahan Penstabil Terhadap Karakteristik Fisikokimia Sari Buah Naga Merah </w:t>
      </w:r>
      <w:r w:rsidRPr="00253D16">
        <w:rPr>
          <w:i/>
        </w:rPr>
        <w:t>(Hylocereus Polyhizus)</w:t>
      </w:r>
      <w:r w:rsidRPr="00253D16">
        <w:t xml:space="preserve"> Selama Penyimpanan. </w:t>
      </w:r>
      <w:r w:rsidRPr="00253D16">
        <w:rPr>
          <w:i/>
        </w:rPr>
        <w:t xml:space="preserve">Jurnal Teknosains Pangan. </w:t>
      </w:r>
      <w:r w:rsidRPr="00253D16">
        <w:t>2(1</w:t>
      </w:r>
      <w:proofErr w:type="gramStart"/>
      <w:r w:rsidRPr="00253D16">
        <w:t>) :</w:t>
      </w:r>
      <w:proofErr w:type="gramEnd"/>
      <w:r w:rsidRPr="00253D16">
        <w:t xml:space="preserve"> 30-38  </w:t>
      </w:r>
    </w:p>
    <w:p w14:paraId="39A565B1" w14:textId="12688A1E" w:rsidR="00253D16" w:rsidRPr="008A5D72" w:rsidRDefault="00253D16" w:rsidP="008A5D72">
      <w:pPr>
        <w:spacing w:before="120" w:after="120"/>
        <w:ind w:left="709" w:hanging="709"/>
        <w:jc w:val="both"/>
        <w:rPr>
          <w:lang w:val="fi-FI"/>
        </w:rPr>
      </w:pPr>
      <w:r w:rsidRPr="00253D16">
        <w:t xml:space="preserve">Hanafiah, K.A., 2003. </w:t>
      </w:r>
      <w:r w:rsidRPr="00253D16">
        <w:rPr>
          <w:i/>
        </w:rPr>
        <w:t>Rancangan Percobaan Teori dan Aplikasi</w:t>
      </w:r>
      <w:r w:rsidRPr="00253D16">
        <w:t xml:space="preserve">. </w:t>
      </w:r>
      <w:r w:rsidRPr="00253D16">
        <w:rPr>
          <w:lang w:val="fi-FI"/>
        </w:rPr>
        <w:t>PT Rajagrafindo Persada. Jakarta.</w:t>
      </w:r>
    </w:p>
    <w:p w14:paraId="193B09CD" w14:textId="77777777" w:rsidR="00253D16" w:rsidRPr="00253D16" w:rsidRDefault="00253D16" w:rsidP="008A5D72">
      <w:pPr>
        <w:autoSpaceDE w:val="0"/>
        <w:autoSpaceDN w:val="0"/>
        <w:adjustRightInd w:val="0"/>
        <w:spacing w:before="120" w:after="120"/>
        <w:ind w:left="709" w:hanging="709"/>
        <w:jc w:val="both"/>
        <w:rPr>
          <w:bCs/>
        </w:rPr>
      </w:pPr>
      <w:r w:rsidRPr="00253D16">
        <w:rPr>
          <w:bCs/>
        </w:rPr>
        <w:t xml:space="preserve">Insan, I., 2014, </w:t>
      </w:r>
      <w:r w:rsidRPr="00253D16">
        <w:rPr>
          <w:rFonts w:eastAsiaTheme="minorHAnsi"/>
        </w:rPr>
        <w:t xml:space="preserve">Rumput Laut Gracilaria Gigas Penghasil Agar-agar untuk Kesehatan dan Food Suplemen, </w:t>
      </w:r>
      <w:r w:rsidRPr="00253D16">
        <w:rPr>
          <w:rFonts w:eastAsiaTheme="minorHAnsi"/>
          <w:i/>
        </w:rPr>
        <w:t xml:space="preserve">Makalah </w:t>
      </w:r>
      <w:r w:rsidRPr="00253D16">
        <w:rPr>
          <w:rFonts w:eastAsiaTheme="minorHAnsi"/>
          <w:i/>
        </w:rPr>
        <w:lastRenderedPageBreak/>
        <w:t xml:space="preserve">Penyuluhan, </w:t>
      </w:r>
      <w:r w:rsidRPr="00253D16">
        <w:rPr>
          <w:rFonts w:eastAsiaTheme="minorHAnsi"/>
        </w:rPr>
        <w:t>Universitas Soedirman, Purwokerto.</w:t>
      </w:r>
    </w:p>
    <w:p w14:paraId="07C40CDC" w14:textId="77777777" w:rsidR="00253D16" w:rsidRPr="00253D16" w:rsidRDefault="00253D16" w:rsidP="008A5D72">
      <w:pPr>
        <w:autoSpaceDE w:val="0"/>
        <w:autoSpaceDN w:val="0"/>
        <w:adjustRightInd w:val="0"/>
        <w:spacing w:before="120" w:after="120"/>
        <w:ind w:left="720" w:hanging="720"/>
        <w:jc w:val="both"/>
        <w:rPr>
          <w:rFonts w:eastAsiaTheme="minorEastAsia"/>
        </w:rPr>
      </w:pPr>
      <w:r w:rsidRPr="00253D16">
        <w:t xml:space="preserve">Pomeranz, Y., dan C.E, Meloan., 1980, </w:t>
      </w:r>
      <w:r w:rsidRPr="00253D16">
        <w:rPr>
          <w:i/>
          <w:iCs/>
        </w:rPr>
        <w:t xml:space="preserve">Food </w:t>
      </w:r>
      <w:proofErr w:type="gramStart"/>
      <w:r w:rsidRPr="00253D16">
        <w:rPr>
          <w:i/>
          <w:iCs/>
        </w:rPr>
        <w:t>Analiysis:Theory</w:t>
      </w:r>
      <w:proofErr w:type="gramEnd"/>
      <w:r w:rsidRPr="00253D16">
        <w:rPr>
          <w:i/>
          <w:iCs/>
        </w:rPr>
        <w:t xml:space="preserve"> and Practice Second.</w:t>
      </w:r>
      <w:r w:rsidRPr="00253D16">
        <w:t xml:space="preserve"> Edition, An Avi Published by Van Nostrand Reinhold Company. New York.</w:t>
      </w:r>
    </w:p>
    <w:p w14:paraId="2CF3A681" w14:textId="6CCAE9C4" w:rsidR="00253D16" w:rsidRPr="008A5D72" w:rsidRDefault="00253D16" w:rsidP="008A5D72">
      <w:pPr>
        <w:spacing w:before="120" w:after="120"/>
        <w:ind w:left="709" w:hanging="709"/>
        <w:jc w:val="both"/>
        <w:rPr>
          <w:rFonts w:eastAsiaTheme="minorEastAsia"/>
        </w:rPr>
      </w:pPr>
      <w:r w:rsidRPr="00253D16">
        <w:t xml:space="preserve">Pudjirahaju, A. dan Astutik., 1999, </w:t>
      </w:r>
      <w:r w:rsidRPr="00253D16">
        <w:rPr>
          <w:i/>
        </w:rPr>
        <w:t>Penilaian Kualitas Makanan Secara Organoleptik</w:t>
      </w:r>
      <w:r w:rsidRPr="00253D16">
        <w:t>, Malang (ID): Universitas Brawijaya.</w:t>
      </w:r>
    </w:p>
    <w:p w14:paraId="40127EE5" w14:textId="47878A26" w:rsidR="00253D16" w:rsidRPr="008A5D72" w:rsidRDefault="00253D16" w:rsidP="008A5D72">
      <w:pPr>
        <w:autoSpaceDE w:val="0"/>
        <w:autoSpaceDN w:val="0"/>
        <w:adjustRightInd w:val="0"/>
        <w:spacing w:before="120" w:after="120"/>
        <w:ind w:left="720" w:hanging="720"/>
        <w:jc w:val="both"/>
        <w:rPr>
          <w:rFonts w:eastAsia="ArialNarrow"/>
        </w:rPr>
      </w:pPr>
      <w:r w:rsidRPr="00253D16">
        <w:rPr>
          <w:rFonts w:eastAsia="ArialNarrow"/>
        </w:rPr>
        <w:t xml:space="preserve">Putri, I. R., Basito. dan Widowati, E., 2013, </w:t>
      </w:r>
      <w:r w:rsidRPr="00C0371D">
        <w:rPr>
          <w:rFonts w:eastAsia="ArialNarrow"/>
          <w:i/>
        </w:rPr>
        <w:t>Pengaruh konsentrasi agar-agar dan karagenan terhadap karakteristik fisik, kimia, dan sensori selai lembaran pisang (</w:t>
      </w:r>
      <w:r w:rsidRPr="00C0371D">
        <w:rPr>
          <w:rFonts w:eastAsia="ArialNarrow"/>
          <w:i/>
          <w:iCs/>
        </w:rPr>
        <w:t xml:space="preserve">Musa paradisiaca </w:t>
      </w:r>
      <w:r w:rsidRPr="00C0371D">
        <w:rPr>
          <w:rFonts w:eastAsia="ArialNarrow"/>
          <w:i/>
        </w:rPr>
        <w:t>L.) varietas raja bulu, Jurna</w:t>
      </w:r>
      <w:r w:rsidRPr="00253D16">
        <w:rPr>
          <w:rFonts w:eastAsia="ArialNarrow"/>
          <w:i/>
        </w:rPr>
        <w:t>l Teknosains</w:t>
      </w:r>
      <w:r w:rsidRPr="00253D16">
        <w:rPr>
          <w:rFonts w:eastAsia="ArialNarrow"/>
        </w:rPr>
        <w:t>, 2 (3</w:t>
      </w:r>
      <w:proofErr w:type="gramStart"/>
      <w:r w:rsidRPr="00253D16">
        <w:rPr>
          <w:rFonts w:eastAsia="ArialNarrow"/>
        </w:rPr>
        <w:t>) :</w:t>
      </w:r>
      <w:proofErr w:type="gramEnd"/>
      <w:r w:rsidRPr="00253D16">
        <w:rPr>
          <w:rFonts w:eastAsia="ArialNarrow"/>
        </w:rPr>
        <w:t xml:space="preserve"> 112 – 120.</w:t>
      </w:r>
    </w:p>
    <w:p w14:paraId="209AF3E1" w14:textId="77777777" w:rsidR="00253D16" w:rsidRPr="00253D16" w:rsidRDefault="00253D16" w:rsidP="008A5D72">
      <w:pPr>
        <w:spacing w:before="120" w:after="120"/>
        <w:ind w:left="720" w:hanging="720"/>
        <w:jc w:val="both"/>
        <w:rPr>
          <w:rFonts w:eastAsiaTheme="minorEastAsia"/>
        </w:rPr>
      </w:pPr>
      <w:r w:rsidRPr="00253D16">
        <w:t>Standar Nasional Indonesia., 2008, SNI 02-3547-2008, Syarat Mutu Kembang Gula Lunak. Badan Standarisasi Nasional, Jakarta.</w:t>
      </w:r>
    </w:p>
    <w:p w14:paraId="2EDA6C00" w14:textId="77777777" w:rsidR="00253D16" w:rsidRPr="00253D16" w:rsidRDefault="00253D16" w:rsidP="008A5D72">
      <w:pPr>
        <w:spacing w:before="120" w:after="120"/>
        <w:ind w:left="709" w:hanging="709"/>
        <w:jc w:val="both"/>
        <w:rPr>
          <w:rFonts w:eastAsiaTheme="minorEastAsia"/>
        </w:rPr>
      </w:pPr>
      <w:r w:rsidRPr="00253D16">
        <w:t xml:space="preserve">Steel, R.G.D. dan J.H. torrie., 1991, </w:t>
      </w:r>
      <w:r w:rsidRPr="00C0371D">
        <w:rPr>
          <w:i/>
        </w:rPr>
        <w:t>Prinsip dan Prosedur Statistika</w:t>
      </w:r>
      <w:r w:rsidRPr="00253D16">
        <w:t>, Gramedia Pustaka Utama, Jakarta.</w:t>
      </w:r>
    </w:p>
    <w:p w14:paraId="5EB351BF" w14:textId="3FBC1E0A" w:rsidR="00253D16" w:rsidRPr="0034622A" w:rsidRDefault="00253D16" w:rsidP="0034622A">
      <w:pPr>
        <w:pStyle w:val="Default"/>
        <w:spacing w:before="120" w:after="120"/>
        <w:ind w:left="709" w:hanging="709"/>
        <w:jc w:val="both"/>
      </w:pPr>
      <w:r w:rsidRPr="00253D16">
        <w:t>Sudarmadji, S., Haryono. dan B., Suhardi., 1997,</w:t>
      </w:r>
      <w:r w:rsidRPr="00253D16">
        <w:rPr>
          <w:i/>
        </w:rPr>
        <w:t xml:space="preserve"> Prosedur Analisa Untuk Bahan Makanan dan Pertanian</w:t>
      </w:r>
      <w:r w:rsidRPr="00253D16">
        <w:t>, Liberty. Yogyakarta</w:t>
      </w:r>
    </w:p>
    <w:p w14:paraId="2053E82D" w14:textId="77777777" w:rsidR="00253D16" w:rsidRPr="00253D16" w:rsidRDefault="00253D16" w:rsidP="0034622A">
      <w:pPr>
        <w:autoSpaceDE w:val="0"/>
        <w:autoSpaceDN w:val="0"/>
        <w:adjustRightInd w:val="0"/>
        <w:spacing w:before="120" w:after="120"/>
        <w:ind w:left="720" w:hanging="720"/>
        <w:jc w:val="both"/>
        <w:rPr>
          <w:rFonts w:eastAsia="ArialNarrow"/>
        </w:rPr>
      </w:pPr>
      <w:r w:rsidRPr="00253D16">
        <w:rPr>
          <w:rFonts w:eastAsia="ArialNarrow"/>
        </w:rPr>
        <w:t xml:space="preserve">Widyaningtyas, M. dan Susanto, W.H., 2014, </w:t>
      </w:r>
      <w:r w:rsidRPr="00C0371D">
        <w:rPr>
          <w:rFonts w:eastAsia="ArialNarrow"/>
          <w:i/>
        </w:rPr>
        <w:t xml:space="preserve">Pengaruh Jenis dan Konsentrasi Hidrokoloid (Carboxy Methyl Cellulose, Xanthan Gum dan Karagenan) Terhadap Karakteristik Mie Kering Berbasis Pasta Ubi Jalar Varietas Asekuning, </w:t>
      </w:r>
      <w:r w:rsidRPr="00253D16">
        <w:rPr>
          <w:rFonts w:eastAsia="ArialNarrow"/>
          <w:i/>
        </w:rPr>
        <w:t>Jurnal Pangan dan Agroindustri</w:t>
      </w:r>
      <w:r w:rsidRPr="00253D16">
        <w:rPr>
          <w:rFonts w:eastAsia="ArialNarrow"/>
        </w:rPr>
        <w:t>, 3 (2</w:t>
      </w:r>
      <w:proofErr w:type="gramStart"/>
      <w:r w:rsidRPr="00253D16">
        <w:rPr>
          <w:rFonts w:eastAsia="ArialNarrow"/>
        </w:rPr>
        <w:t>) :</w:t>
      </w:r>
      <w:proofErr w:type="gramEnd"/>
      <w:r w:rsidRPr="00253D16">
        <w:rPr>
          <w:rFonts w:eastAsia="ArialNarrow"/>
        </w:rPr>
        <w:t xml:space="preserve"> 417 – 423.</w:t>
      </w:r>
    </w:p>
    <w:p w14:paraId="4319E392" w14:textId="77777777" w:rsidR="00253D16" w:rsidRPr="00253D16" w:rsidRDefault="00253D16" w:rsidP="00253D16">
      <w:pPr>
        <w:autoSpaceDE w:val="0"/>
        <w:autoSpaceDN w:val="0"/>
        <w:adjustRightInd w:val="0"/>
        <w:ind w:left="720" w:hanging="720"/>
        <w:jc w:val="both"/>
        <w:rPr>
          <w:rFonts w:eastAsiaTheme="minorEastAsia"/>
          <w:lang w:val="id-ID"/>
        </w:rPr>
      </w:pPr>
      <w:r w:rsidRPr="00253D16">
        <w:t xml:space="preserve">Winarno, F.G., 1992, </w:t>
      </w:r>
      <w:r w:rsidRPr="00253D16">
        <w:rPr>
          <w:i/>
          <w:iCs/>
        </w:rPr>
        <w:t xml:space="preserve">Kimia Pangan dan Gizi, </w:t>
      </w:r>
      <w:r w:rsidRPr="00253D16">
        <w:t>PT Gramedia Pustaka Utama, Jakarta</w:t>
      </w:r>
      <w:r w:rsidRPr="00253D16">
        <w:rPr>
          <w:lang w:val="id-ID"/>
        </w:rPr>
        <w:t>.</w:t>
      </w:r>
    </w:p>
    <w:p w14:paraId="1E9FAEDF" w14:textId="77777777" w:rsidR="00811F15" w:rsidRPr="0053123C" w:rsidRDefault="00811F15" w:rsidP="00811F15">
      <w:pPr>
        <w:spacing w:line="276" w:lineRule="auto"/>
        <w:jc w:val="both"/>
        <w:rPr>
          <w:lang w:val="id-ID"/>
        </w:rPr>
      </w:pPr>
    </w:p>
    <w:p w14:paraId="6F045FE0" w14:textId="77777777" w:rsidR="00811F15" w:rsidRPr="00A11DD1" w:rsidRDefault="00811F15" w:rsidP="00A11DD1">
      <w:pPr>
        <w:spacing w:line="276" w:lineRule="auto"/>
        <w:jc w:val="both"/>
        <w:rPr>
          <w:b/>
          <w:lang w:val="id-ID"/>
        </w:rPr>
      </w:pPr>
    </w:p>
    <w:sectPr w:rsidR="00811F15" w:rsidRPr="00A11DD1" w:rsidSect="00BB343B">
      <w:type w:val="continuous"/>
      <w:pgSz w:w="11906" w:h="16838"/>
      <w:pgMar w:top="1701" w:right="1701" w:bottom="1701" w:left="2268" w:header="709" w:footer="709"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Arial-ItalicMT">
    <w:altName w:val="Times New Roman"/>
    <w:panose1 w:val="00000000000000000000"/>
    <w:charset w:val="00"/>
    <w:family w:val="roman"/>
    <w:notTrueType/>
    <w:pitch w:val="default"/>
  </w:font>
  <w:font w:name="Minion Pro">
    <w:altName w:val="Cambria"/>
    <w:panose1 w:val="00000000000000000000"/>
    <w:charset w:val="00"/>
    <w:family w:val="roman"/>
    <w:notTrueType/>
    <w:pitch w:val="default"/>
    <w:sig w:usb0="00000003" w:usb1="00000000" w:usb2="00000000" w:usb3="00000000" w:csb0="00000001" w:csb1="00000000"/>
  </w:font>
  <w:font w:name="ArialNarrow">
    <w:altName w:val="MS Mincho"/>
    <w:panose1 w:val="00000000000000000000"/>
    <w:charset w:val="80"/>
    <w:family w:val="auto"/>
    <w:notTrueType/>
    <w:pitch w:val="default"/>
    <w:sig w:usb0="00000003" w:usb1="08070000" w:usb2="00000010" w:usb3="00000000" w:csb0="00020001"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7A5A"/>
    <w:multiLevelType w:val="multilevel"/>
    <w:tmpl w:val="5A26C81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2E935B9"/>
    <w:multiLevelType w:val="multilevel"/>
    <w:tmpl w:val="C8A0490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AD7"/>
    <w:rsid w:val="00001043"/>
    <w:rsid w:val="0000439E"/>
    <w:rsid w:val="000303D9"/>
    <w:rsid w:val="00031C24"/>
    <w:rsid w:val="00035596"/>
    <w:rsid w:val="000512E2"/>
    <w:rsid w:val="000677D3"/>
    <w:rsid w:val="00072799"/>
    <w:rsid w:val="00076D43"/>
    <w:rsid w:val="00085223"/>
    <w:rsid w:val="000856DF"/>
    <w:rsid w:val="000950D8"/>
    <w:rsid w:val="00096E2D"/>
    <w:rsid w:val="000A028A"/>
    <w:rsid w:val="000B12CB"/>
    <w:rsid w:val="000C05AC"/>
    <w:rsid w:val="000C0BEC"/>
    <w:rsid w:val="000D21D0"/>
    <w:rsid w:val="000D23F6"/>
    <w:rsid w:val="000F09C7"/>
    <w:rsid w:val="000F1D3D"/>
    <w:rsid w:val="00101AF9"/>
    <w:rsid w:val="00103EE9"/>
    <w:rsid w:val="001050F4"/>
    <w:rsid w:val="00130451"/>
    <w:rsid w:val="00141E41"/>
    <w:rsid w:val="0016354A"/>
    <w:rsid w:val="001720BC"/>
    <w:rsid w:val="001A7CAA"/>
    <w:rsid w:val="001B2BB8"/>
    <w:rsid w:val="001D4D13"/>
    <w:rsid w:val="001E04BC"/>
    <w:rsid w:val="00204179"/>
    <w:rsid w:val="00210851"/>
    <w:rsid w:val="00211EB3"/>
    <w:rsid w:val="002160F3"/>
    <w:rsid w:val="00221A59"/>
    <w:rsid w:val="00223EBD"/>
    <w:rsid w:val="002335EA"/>
    <w:rsid w:val="00236F81"/>
    <w:rsid w:val="00244937"/>
    <w:rsid w:val="00247EFF"/>
    <w:rsid w:val="00253D16"/>
    <w:rsid w:val="002574AA"/>
    <w:rsid w:val="0026258E"/>
    <w:rsid w:val="002931D4"/>
    <w:rsid w:val="00297FE4"/>
    <w:rsid w:val="002B5687"/>
    <w:rsid w:val="002C60FF"/>
    <w:rsid w:val="002E1617"/>
    <w:rsid w:val="002F19DB"/>
    <w:rsid w:val="002F51A1"/>
    <w:rsid w:val="002F7F11"/>
    <w:rsid w:val="0030040A"/>
    <w:rsid w:val="00302D73"/>
    <w:rsid w:val="00305290"/>
    <w:rsid w:val="0030699D"/>
    <w:rsid w:val="0031537E"/>
    <w:rsid w:val="00315802"/>
    <w:rsid w:val="00316D68"/>
    <w:rsid w:val="00341926"/>
    <w:rsid w:val="0034622A"/>
    <w:rsid w:val="00353E0E"/>
    <w:rsid w:val="003578E0"/>
    <w:rsid w:val="00365356"/>
    <w:rsid w:val="003A3812"/>
    <w:rsid w:val="003A5101"/>
    <w:rsid w:val="003C6A2D"/>
    <w:rsid w:val="003C77D7"/>
    <w:rsid w:val="003D0A0D"/>
    <w:rsid w:val="003D1CF1"/>
    <w:rsid w:val="003E058B"/>
    <w:rsid w:val="003F3EE0"/>
    <w:rsid w:val="003F79D0"/>
    <w:rsid w:val="00404E55"/>
    <w:rsid w:val="004118FD"/>
    <w:rsid w:val="004132C2"/>
    <w:rsid w:val="00427579"/>
    <w:rsid w:val="00432DF1"/>
    <w:rsid w:val="00447CC9"/>
    <w:rsid w:val="004901B1"/>
    <w:rsid w:val="00491027"/>
    <w:rsid w:val="00495DAC"/>
    <w:rsid w:val="004967C9"/>
    <w:rsid w:val="004C2141"/>
    <w:rsid w:val="004C5B7D"/>
    <w:rsid w:val="004C730C"/>
    <w:rsid w:val="004E1502"/>
    <w:rsid w:val="004E2482"/>
    <w:rsid w:val="004E5B29"/>
    <w:rsid w:val="004F5C49"/>
    <w:rsid w:val="005008ED"/>
    <w:rsid w:val="0051519E"/>
    <w:rsid w:val="0053123C"/>
    <w:rsid w:val="00560125"/>
    <w:rsid w:val="005628E3"/>
    <w:rsid w:val="0057097E"/>
    <w:rsid w:val="00586E39"/>
    <w:rsid w:val="005B278D"/>
    <w:rsid w:val="005C5BB5"/>
    <w:rsid w:val="005D1DAD"/>
    <w:rsid w:val="005E0B91"/>
    <w:rsid w:val="005F0459"/>
    <w:rsid w:val="005F45E8"/>
    <w:rsid w:val="005F5AE5"/>
    <w:rsid w:val="005F61E0"/>
    <w:rsid w:val="00602D70"/>
    <w:rsid w:val="00613D23"/>
    <w:rsid w:val="006262D9"/>
    <w:rsid w:val="00645A4D"/>
    <w:rsid w:val="0066014C"/>
    <w:rsid w:val="0066246A"/>
    <w:rsid w:val="006624B2"/>
    <w:rsid w:val="0066625F"/>
    <w:rsid w:val="006A441E"/>
    <w:rsid w:val="006A5D09"/>
    <w:rsid w:val="006C3DE7"/>
    <w:rsid w:val="006C5E03"/>
    <w:rsid w:val="006D3B9E"/>
    <w:rsid w:val="006E2E48"/>
    <w:rsid w:val="006F1EAF"/>
    <w:rsid w:val="007035E5"/>
    <w:rsid w:val="007079C0"/>
    <w:rsid w:val="00716B0E"/>
    <w:rsid w:val="00717DE6"/>
    <w:rsid w:val="00722361"/>
    <w:rsid w:val="00726A0F"/>
    <w:rsid w:val="00742835"/>
    <w:rsid w:val="0076607B"/>
    <w:rsid w:val="00776800"/>
    <w:rsid w:val="0077739D"/>
    <w:rsid w:val="0078023C"/>
    <w:rsid w:val="007948C2"/>
    <w:rsid w:val="00796D4F"/>
    <w:rsid w:val="007A4AC3"/>
    <w:rsid w:val="007C75B8"/>
    <w:rsid w:val="007D6FC7"/>
    <w:rsid w:val="007E560A"/>
    <w:rsid w:val="007F2511"/>
    <w:rsid w:val="0080540C"/>
    <w:rsid w:val="00805590"/>
    <w:rsid w:val="00811F15"/>
    <w:rsid w:val="0082103B"/>
    <w:rsid w:val="00826526"/>
    <w:rsid w:val="00841308"/>
    <w:rsid w:val="00847516"/>
    <w:rsid w:val="00852251"/>
    <w:rsid w:val="008526BA"/>
    <w:rsid w:val="00860249"/>
    <w:rsid w:val="00861CBE"/>
    <w:rsid w:val="00866568"/>
    <w:rsid w:val="00873C5A"/>
    <w:rsid w:val="00875A49"/>
    <w:rsid w:val="00876A7E"/>
    <w:rsid w:val="0088228F"/>
    <w:rsid w:val="00882C9F"/>
    <w:rsid w:val="00886796"/>
    <w:rsid w:val="008A19E6"/>
    <w:rsid w:val="008A5D72"/>
    <w:rsid w:val="008B243A"/>
    <w:rsid w:val="008C138B"/>
    <w:rsid w:val="008D3342"/>
    <w:rsid w:val="008E2C58"/>
    <w:rsid w:val="008F030E"/>
    <w:rsid w:val="008F479D"/>
    <w:rsid w:val="008F6CBE"/>
    <w:rsid w:val="009031B2"/>
    <w:rsid w:val="009072CE"/>
    <w:rsid w:val="009107A9"/>
    <w:rsid w:val="009250AD"/>
    <w:rsid w:val="009422A6"/>
    <w:rsid w:val="00943599"/>
    <w:rsid w:val="009618E9"/>
    <w:rsid w:val="00962D07"/>
    <w:rsid w:val="00981CC7"/>
    <w:rsid w:val="00983C8F"/>
    <w:rsid w:val="009C3F45"/>
    <w:rsid w:val="009D4BD6"/>
    <w:rsid w:val="009E1C88"/>
    <w:rsid w:val="009E2079"/>
    <w:rsid w:val="009F1BFE"/>
    <w:rsid w:val="009F7C80"/>
    <w:rsid w:val="00A059E3"/>
    <w:rsid w:val="00A062F0"/>
    <w:rsid w:val="00A07A3B"/>
    <w:rsid w:val="00A11DD1"/>
    <w:rsid w:val="00A2757D"/>
    <w:rsid w:val="00A27CFE"/>
    <w:rsid w:val="00A31C94"/>
    <w:rsid w:val="00A32844"/>
    <w:rsid w:val="00A54055"/>
    <w:rsid w:val="00A75EF6"/>
    <w:rsid w:val="00A80716"/>
    <w:rsid w:val="00A91349"/>
    <w:rsid w:val="00AC284A"/>
    <w:rsid w:val="00AC3611"/>
    <w:rsid w:val="00AD0024"/>
    <w:rsid w:val="00AD42A9"/>
    <w:rsid w:val="00AD5113"/>
    <w:rsid w:val="00AE6CC6"/>
    <w:rsid w:val="00AE7175"/>
    <w:rsid w:val="00AE7DD9"/>
    <w:rsid w:val="00AF35D6"/>
    <w:rsid w:val="00AF6F34"/>
    <w:rsid w:val="00B04AD9"/>
    <w:rsid w:val="00B11AD7"/>
    <w:rsid w:val="00B175AF"/>
    <w:rsid w:val="00B324E9"/>
    <w:rsid w:val="00B32BA5"/>
    <w:rsid w:val="00B41672"/>
    <w:rsid w:val="00B417DD"/>
    <w:rsid w:val="00B7673B"/>
    <w:rsid w:val="00B96C73"/>
    <w:rsid w:val="00BA3ED7"/>
    <w:rsid w:val="00BB343B"/>
    <w:rsid w:val="00BB411A"/>
    <w:rsid w:val="00BC79BB"/>
    <w:rsid w:val="00BD022C"/>
    <w:rsid w:val="00BD0CDD"/>
    <w:rsid w:val="00BD5D68"/>
    <w:rsid w:val="00BE1713"/>
    <w:rsid w:val="00BE3D8A"/>
    <w:rsid w:val="00BE61C5"/>
    <w:rsid w:val="00BF459C"/>
    <w:rsid w:val="00C0371D"/>
    <w:rsid w:val="00C1321A"/>
    <w:rsid w:val="00C14127"/>
    <w:rsid w:val="00C22423"/>
    <w:rsid w:val="00C249B5"/>
    <w:rsid w:val="00C26653"/>
    <w:rsid w:val="00C36856"/>
    <w:rsid w:val="00C4146F"/>
    <w:rsid w:val="00C4317C"/>
    <w:rsid w:val="00C50DCB"/>
    <w:rsid w:val="00C73096"/>
    <w:rsid w:val="00C77B50"/>
    <w:rsid w:val="00C800FF"/>
    <w:rsid w:val="00C82838"/>
    <w:rsid w:val="00C93135"/>
    <w:rsid w:val="00C93CF7"/>
    <w:rsid w:val="00C93DE7"/>
    <w:rsid w:val="00CA7216"/>
    <w:rsid w:val="00CC3AE4"/>
    <w:rsid w:val="00CC55A6"/>
    <w:rsid w:val="00CD7064"/>
    <w:rsid w:val="00CE60B0"/>
    <w:rsid w:val="00D043B0"/>
    <w:rsid w:val="00D26C44"/>
    <w:rsid w:val="00D2706F"/>
    <w:rsid w:val="00D2772B"/>
    <w:rsid w:val="00D4442A"/>
    <w:rsid w:val="00D45154"/>
    <w:rsid w:val="00D63A90"/>
    <w:rsid w:val="00D742D7"/>
    <w:rsid w:val="00D74687"/>
    <w:rsid w:val="00D86463"/>
    <w:rsid w:val="00DC25D8"/>
    <w:rsid w:val="00DD1EB0"/>
    <w:rsid w:val="00DD23E2"/>
    <w:rsid w:val="00DD34D7"/>
    <w:rsid w:val="00DF3765"/>
    <w:rsid w:val="00DF4B02"/>
    <w:rsid w:val="00E1383B"/>
    <w:rsid w:val="00E426AA"/>
    <w:rsid w:val="00E43535"/>
    <w:rsid w:val="00E47A69"/>
    <w:rsid w:val="00E51D4A"/>
    <w:rsid w:val="00E61783"/>
    <w:rsid w:val="00E72488"/>
    <w:rsid w:val="00E72E38"/>
    <w:rsid w:val="00E8448C"/>
    <w:rsid w:val="00E92F1C"/>
    <w:rsid w:val="00EA1791"/>
    <w:rsid w:val="00EB403F"/>
    <w:rsid w:val="00EB4AF4"/>
    <w:rsid w:val="00EE6F24"/>
    <w:rsid w:val="00EF4FEB"/>
    <w:rsid w:val="00EF6D2D"/>
    <w:rsid w:val="00F12062"/>
    <w:rsid w:val="00F5460D"/>
    <w:rsid w:val="00F54F07"/>
    <w:rsid w:val="00F57A77"/>
    <w:rsid w:val="00F60C2C"/>
    <w:rsid w:val="00F625F8"/>
    <w:rsid w:val="00F66526"/>
    <w:rsid w:val="00F72CF3"/>
    <w:rsid w:val="00F8347D"/>
    <w:rsid w:val="00F93CA4"/>
    <w:rsid w:val="00FB1BC8"/>
    <w:rsid w:val="00FD062E"/>
    <w:rsid w:val="00FD1AE2"/>
    <w:rsid w:val="00FD4A61"/>
    <w:rsid w:val="00FE02FA"/>
    <w:rsid w:val="00FE1079"/>
    <w:rsid w:val="00FE28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EB7C"/>
  <w15:docId w15:val="{D2EFB152-9C3A-4D91-A72B-AAE63E0C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A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39D"/>
    <w:rPr>
      <w:color w:val="0000FF" w:themeColor="hyperlink"/>
      <w:u w:val="single"/>
    </w:rPr>
  </w:style>
  <w:style w:type="character" w:customStyle="1" w:styleId="fontstyle01">
    <w:name w:val="fontstyle01"/>
    <w:basedOn w:val="DefaultParagraphFont"/>
    <w:rsid w:val="00AF35D6"/>
    <w:rPr>
      <w:rFonts w:ascii="ArialMT" w:hAnsi="ArialMT" w:hint="default"/>
      <w:b w:val="0"/>
      <w:bCs w:val="0"/>
      <w:i w:val="0"/>
      <w:iCs w:val="0"/>
      <w:color w:val="000000"/>
      <w:sz w:val="22"/>
      <w:szCs w:val="22"/>
    </w:rPr>
  </w:style>
  <w:style w:type="table" w:styleId="TableGrid">
    <w:name w:val="Table Grid"/>
    <w:basedOn w:val="TableNormal"/>
    <w:uiPriority w:val="39"/>
    <w:rsid w:val="00C50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B29"/>
    <w:pPr>
      <w:spacing w:after="200" w:line="276" w:lineRule="auto"/>
      <w:ind w:left="720"/>
      <w:contextualSpacing/>
    </w:pPr>
    <w:rPr>
      <w:rFonts w:asciiTheme="minorHAnsi" w:eastAsiaTheme="minorEastAsia" w:hAnsiTheme="minorHAnsi" w:cstheme="minorBidi"/>
      <w:sz w:val="22"/>
      <w:szCs w:val="22"/>
      <w:lang w:val="id-ID" w:eastAsia="id-ID"/>
    </w:rPr>
  </w:style>
  <w:style w:type="paragraph" w:styleId="BalloonText">
    <w:name w:val="Balloon Text"/>
    <w:basedOn w:val="Normal"/>
    <w:link w:val="BalloonTextChar"/>
    <w:uiPriority w:val="99"/>
    <w:semiHidden/>
    <w:unhideWhenUsed/>
    <w:rsid w:val="002B5687"/>
    <w:rPr>
      <w:rFonts w:ascii="Tahoma" w:hAnsi="Tahoma" w:cs="Tahoma"/>
      <w:sz w:val="16"/>
      <w:szCs w:val="16"/>
    </w:rPr>
  </w:style>
  <w:style w:type="character" w:customStyle="1" w:styleId="BalloonTextChar">
    <w:name w:val="Balloon Text Char"/>
    <w:basedOn w:val="DefaultParagraphFont"/>
    <w:link w:val="BalloonText"/>
    <w:uiPriority w:val="99"/>
    <w:semiHidden/>
    <w:rsid w:val="002B5687"/>
    <w:rPr>
      <w:rFonts w:ascii="Tahoma" w:eastAsia="Times New Roman" w:hAnsi="Tahoma" w:cs="Tahoma"/>
      <w:sz w:val="16"/>
      <w:szCs w:val="16"/>
      <w:lang w:val="en-US"/>
    </w:rPr>
  </w:style>
  <w:style w:type="character" w:customStyle="1" w:styleId="fontstyle21">
    <w:name w:val="fontstyle21"/>
    <w:basedOn w:val="DefaultParagraphFont"/>
    <w:rsid w:val="00613D23"/>
    <w:rPr>
      <w:rFonts w:ascii="Arial-ItalicMT" w:hAnsi="Arial-ItalicMT" w:hint="default"/>
      <w:b w:val="0"/>
      <w:bCs w:val="0"/>
      <w:i/>
      <w:iCs/>
      <w:color w:val="000000"/>
      <w:sz w:val="22"/>
      <w:szCs w:val="22"/>
    </w:rPr>
  </w:style>
  <w:style w:type="paragraph" w:styleId="CommentText">
    <w:name w:val="annotation text"/>
    <w:basedOn w:val="Normal"/>
    <w:link w:val="CommentTextChar"/>
    <w:uiPriority w:val="99"/>
    <w:semiHidden/>
    <w:unhideWhenUsed/>
    <w:rsid w:val="00C4146F"/>
    <w:pPr>
      <w:spacing w:after="160"/>
    </w:pPr>
    <w:rPr>
      <w:rFonts w:asciiTheme="minorHAnsi" w:eastAsiaTheme="minorHAnsi" w:hAnsiTheme="minorHAnsi" w:cstheme="minorBidi"/>
      <w:sz w:val="20"/>
      <w:szCs w:val="20"/>
      <w:lang w:val="id-ID"/>
    </w:rPr>
  </w:style>
  <w:style w:type="character" w:customStyle="1" w:styleId="CommentTextChar">
    <w:name w:val="Comment Text Char"/>
    <w:basedOn w:val="DefaultParagraphFont"/>
    <w:link w:val="CommentText"/>
    <w:uiPriority w:val="99"/>
    <w:semiHidden/>
    <w:rsid w:val="00C4146F"/>
    <w:rPr>
      <w:sz w:val="20"/>
      <w:szCs w:val="20"/>
    </w:rPr>
  </w:style>
  <w:style w:type="character" w:customStyle="1" w:styleId="A3">
    <w:name w:val="A3"/>
    <w:uiPriority w:val="99"/>
    <w:rsid w:val="007F2511"/>
    <w:rPr>
      <w:rFonts w:ascii="Minion Pro" w:hAnsi="Minion Pro" w:cs="Minion Pro" w:hint="default"/>
      <w:color w:val="000000"/>
      <w:sz w:val="22"/>
      <w:szCs w:val="22"/>
    </w:rPr>
  </w:style>
  <w:style w:type="character" w:customStyle="1" w:styleId="A4">
    <w:name w:val="A4"/>
    <w:uiPriority w:val="99"/>
    <w:rsid w:val="007F2511"/>
    <w:rPr>
      <w:rFonts w:ascii="Minion Pro" w:hAnsi="Minion Pro" w:cs="Minion Pro" w:hint="default"/>
      <w:color w:val="000000"/>
      <w:sz w:val="12"/>
      <w:szCs w:val="12"/>
    </w:rPr>
  </w:style>
  <w:style w:type="paragraph" w:customStyle="1" w:styleId="Default">
    <w:name w:val="Default"/>
    <w:rsid w:val="00586E3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03EE9"/>
    <w:rPr>
      <w:sz w:val="16"/>
      <w:szCs w:val="16"/>
    </w:rPr>
  </w:style>
  <w:style w:type="paragraph" w:styleId="CommentSubject">
    <w:name w:val="annotation subject"/>
    <w:basedOn w:val="CommentText"/>
    <w:next w:val="CommentText"/>
    <w:link w:val="CommentSubjectChar"/>
    <w:uiPriority w:val="99"/>
    <w:semiHidden/>
    <w:unhideWhenUsed/>
    <w:rsid w:val="00103EE9"/>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103EE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2861">
      <w:bodyDiv w:val="1"/>
      <w:marLeft w:val="0"/>
      <w:marRight w:val="0"/>
      <w:marTop w:val="0"/>
      <w:marBottom w:val="0"/>
      <w:divBdr>
        <w:top w:val="none" w:sz="0" w:space="0" w:color="auto"/>
        <w:left w:val="none" w:sz="0" w:space="0" w:color="auto"/>
        <w:bottom w:val="none" w:sz="0" w:space="0" w:color="auto"/>
        <w:right w:val="none" w:sz="0" w:space="0" w:color="auto"/>
      </w:divBdr>
    </w:div>
    <w:div w:id="737939569">
      <w:bodyDiv w:val="1"/>
      <w:marLeft w:val="0"/>
      <w:marRight w:val="0"/>
      <w:marTop w:val="0"/>
      <w:marBottom w:val="0"/>
      <w:divBdr>
        <w:top w:val="none" w:sz="0" w:space="0" w:color="auto"/>
        <w:left w:val="none" w:sz="0" w:space="0" w:color="auto"/>
        <w:bottom w:val="none" w:sz="0" w:space="0" w:color="auto"/>
        <w:right w:val="none" w:sz="0" w:space="0" w:color="auto"/>
      </w:divBdr>
    </w:div>
    <w:div w:id="898394203">
      <w:bodyDiv w:val="1"/>
      <w:marLeft w:val="0"/>
      <w:marRight w:val="0"/>
      <w:marTop w:val="0"/>
      <w:marBottom w:val="0"/>
      <w:divBdr>
        <w:top w:val="none" w:sz="0" w:space="0" w:color="auto"/>
        <w:left w:val="none" w:sz="0" w:space="0" w:color="auto"/>
        <w:bottom w:val="none" w:sz="0" w:space="0" w:color="auto"/>
        <w:right w:val="none" w:sz="0" w:space="0" w:color="auto"/>
      </w:divBdr>
    </w:div>
    <w:div w:id="1178883804">
      <w:bodyDiv w:val="1"/>
      <w:marLeft w:val="0"/>
      <w:marRight w:val="0"/>
      <w:marTop w:val="0"/>
      <w:marBottom w:val="0"/>
      <w:divBdr>
        <w:top w:val="none" w:sz="0" w:space="0" w:color="auto"/>
        <w:left w:val="none" w:sz="0" w:space="0" w:color="auto"/>
        <w:bottom w:val="none" w:sz="0" w:space="0" w:color="auto"/>
        <w:right w:val="none" w:sz="0" w:space="0" w:color="auto"/>
      </w:divBdr>
    </w:div>
    <w:div w:id="1409424726">
      <w:bodyDiv w:val="1"/>
      <w:marLeft w:val="0"/>
      <w:marRight w:val="0"/>
      <w:marTop w:val="0"/>
      <w:marBottom w:val="0"/>
      <w:divBdr>
        <w:top w:val="none" w:sz="0" w:space="0" w:color="auto"/>
        <w:left w:val="none" w:sz="0" w:space="0" w:color="auto"/>
        <w:bottom w:val="none" w:sz="0" w:space="0" w:color="auto"/>
        <w:right w:val="none" w:sz="0" w:space="0" w:color="auto"/>
      </w:divBdr>
    </w:div>
    <w:div w:id="1425763753">
      <w:bodyDiv w:val="1"/>
      <w:marLeft w:val="0"/>
      <w:marRight w:val="0"/>
      <w:marTop w:val="0"/>
      <w:marBottom w:val="0"/>
      <w:divBdr>
        <w:top w:val="none" w:sz="0" w:space="0" w:color="auto"/>
        <w:left w:val="none" w:sz="0" w:space="0" w:color="auto"/>
        <w:bottom w:val="none" w:sz="0" w:space="0" w:color="auto"/>
        <w:right w:val="none" w:sz="0" w:space="0" w:color="auto"/>
      </w:divBdr>
    </w:div>
    <w:div w:id="1735733328">
      <w:bodyDiv w:val="1"/>
      <w:marLeft w:val="0"/>
      <w:marRight w:val="0"/>
      <w:marTop w:val="0"/>
      <w:marBottom w:val="0"/>
      <w:divBdr>
        <w:top w:val="none" w:sz="0" w:space="0" w:color="auto"/>
        <w:left w:val="none" w:sz="0" w:space="0" w:color="auto"/>
        <w:bottom w:val="none" w:sz="0" w:space="0" w:color="auto"/>
        <w:right w:val="none" w:sz="0" w:space="0" w:color="auto"/>
      </w:divBdr>
    </w:div>
    <w:div w:id="1780292344">
      <w:bodyDiv w:val="1"/>
      <w:marLeft w:val="0"/>
      <w:marRight w:val="0"/>
      <w:marTop w:val="0"/>
      <w:marBottom w:val="0"/>
      <w:divBdr>
        <w:top w:val="none" w:sz="0" w:space="0" w:color="auto"/>
        <w:left w:val="none" w:sz="0" w:space="0" w:color="auto"/>
        <w:bottom w:val="none" w:sz="0" w:space="0" w:color="auto"/>
        <w:right w:val="none" w:sz="0" w:space="0" w:color="auto"/>
      </w:divBdr>
    </w:div>
    <w:div w:id="1786389547">
      <w:bodyDiv w:val="1"/>
      <w:marLeft w:val="0"/>
      <w:marRight w:val="0"/>
      <w:marTop w:val="0"/>
      <w:marBottom w:val="0"/>
      <w:divBdr>
        <w:top w:val="none" w:sz="0" w:space="0" w:color="auto"/>
        <w:left w:val="none" w:sz="0" w:space="0" w:color="auto"/>
        <w:bottom w:val="none" w:sz="0" w:space="0" w:color="auto"/>
        <w:right w:val="none" w:sz="0" w:space="0" w:color="auto"/>
      </w:divBdr>
    </w:div>
    <w:div w:id="1878813284">
      <w:bodyDiv w:val="1"/>
      <w:marLeft w:val="0"/>
      <w:marRight w:val="0"/>
      <w:marTop w:val="0"/>
      <w:marBottom w:val="0"/>
      <w:divBdr>
        <w:top w:val="none" w:sz="0" w:space="0" w:color="auto"/>
        <w:left w:val="none" w:sz="0" w:space="0" w:color="auto"/>
        <w:bottom w:val="none" w:sz="0" w:space="0" w:color="auto"/>
        <w:right w:val="none" w:sz="0" w:space="0" w:color="auto"/>
      </w:divBdr>
    </w:div>
    <w:div w:id="20282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novi</cp:lastModifiedBy>
  <cp:revision>19</cp:revision>
  <dcterms:created xsi:type="dcterms:W3CDTF">2018-05-23T00:01:00Z</dcterms:created>
  <dcterms:modified xsi:type="dcterms:W3CDTF">2018-05-27T15:22:00Z</dcterms:modified>
</cp:coreProperties>
</file>