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5E" w:rsidRPr="0084577C" w:rsidRDefault="006F315E" w:rsidP="006F315E">
      <w:pPr>
        <w:spacing w:before="14" w:line="276" w:lineRule="auto"/>
        <w:ind w:left="972" w:right="521"/>
        <w:jc w:val="center"/>
        <w:rPr>
          <w:sz w:val="28"/>
          <w:szCs w:val="28"/>
        </w:rPr>
      </w:pPr>
      <w:bookmarkStart w:id="0" w:name="_GoBack"/>
      <w:bookmarkEnd w:id="0"/>
      <w:r w:rsidRPr="0084577C">
        <w:rPr>
          <w:b/>
          <w:spacing w:val="1"/>
          <w:sz w:val="28"/>
          <w:szCs w:val="28"/>
        </w:rPr>
        <w:t>A</w:t>
      </w:r>
      <w:r w:rsidRPr="0084577C">
        <w:rPr>
          <w:b/>
          <w:spacing w:val="-1"/>
          <w:sz w:val="28"/>
          <w:szCs w:val="28"/>
        </w:rPr>
        <w:t>NAL</w:t>
      </w:r>
      <w:r w:rsidRPr="0084577C">
        <w:rPr>
          <w:b/>
          <w:spacing w:val="3"/>
          <w:sz w:val="28"/>
          <w:szCs w:val="28"/>
        </w:rPr>
        <w:t>I</w:t>
      </w:r>
      <w:r w:rsidRPr="0084577C">
        <w:rPr>
          <w:b/>
          <w:spacing w:val="-3"/>
          <w:sz w:val="28"/>
          <w:szCs w:val="28"/>
        </w:rPr>
        <w:t>S</w:t>
      </w:r>
      <w:r w:rsidRPr="0084577C">
        <w:rPr>
          <w:b/>
          <w:spacing w:val="3"/>
          <w:sz w:val="28"/>
          <w:szCs w:val="28"/>
        </w:rPr>
        <w:t>I</w:t>
      </w:r>
      <w:r w:rsidRPr="0084577C">
        <w:rPr>
          <w:b/>
          <w:sz w:val="28"/>
          <w:szCs w:val="28"/>
        </w:rPr>
        <w:t xml:space="preserve">S </w:t>
      </w:r>
      <w:r w:rsidRPr="0084577C">
        <w:rPr>
          <w:b/>
          <w:spacing w:val="-1"/>
          <w:sz w:val="28"/>
          <w:szCs w:val="28"/>
        </w:rPr>
        <w:t>D</w:t>
      </w:r>
      <w:r w:rsidRPr="0084577C">
        <w:rPr>
          <w:b/>
          <w:spacing w:val="1"/>
          <w:sz w:val="28"/>
          <w:szCs w:val="28"/>
        </w:rPr>
        <w:t>E</w:t>
      </w:r>
      <w:r w:rsidRPr="0084577C">
        <w:rPr>
          <w:b/>
          <w:spacing w:val="-1"/>
          <w:sz w:val="28"/>
          <w:szCs w:val="28"/>
        </w:rPr>
        <w:t>T</w:t>
      </w:r>
      <w:r w:rsidRPr="0084577C">
        <w:rPr>
          <w:b/>
          <w:spacing w:val="1"/>
          <w:sz w:val="28"/>
          <w:szCs w:val="28"/>
        </w:rPr>
        <w:t>E</w:t>
      </w:r>
      <w:r w:rsidRPr="0084577C">
        <w:rPr>
          <w:b/>
          <w:spacing w:val="-1"/>
          <w:sz w:val="28"/>
          <w:szCs w:val="28"/>
        </w:rPr>
        <w:t>R</w:t>
      </w:r>
      <w:r w:rsidRPr="0084577C">
        <w:rPr>
          <w:b/>
          <w:sz w:val="28"/>
          <w:szCs w:val="28"/>
        </w:rPr>
        <w:t>MI</w:t>
      </w:r>
      <w:r w:rsidRPr="0084577C">
        <w:rPr>
          <w:b/>
          <w:spacing w:val="1"/>
          <w:sz w:val="28"/>
          <w:szCs w:val="28"/>
        </w:rPr>
        <w:t>N</w:t>
      </w:r>
      <w:r w:rsidRPr="0084577C">
        <w:rPr>
          <w:b/>
          <w:spacing w:val="-1"/>
          <w:sz w:val="28"/>
          <w:szCs w:val="28"/>
        </w:rPr>
        <w:t>A</w:t>
      </w:r>
      <w:r w:rsidRPr="0084577C">
        <w:rPr>
          <w:b/>
          <w:sz w:val="28"/>
          <w:szCs w:val="28"/>
        </w:rPr>
        <w:t xml:space="preserve">N </w:t>
      </w:r>
      <w:r w:rsidRPr="0084577C">
        <w:rPr>
          <w:b/>
          <w:spacing w:val="1"/>
          <w:sz w:val="28"/>
          <w:szCs w:val="28"/>
        </w:rPr>
        <w:t>K</w:t>
      </w:r>
      <w:r w:rsidRPr="0084577C">
        <w:rPr>
          <w:b/>
          <w:sz w:val="28"/>
          <w:szCs w:val="28"/>
        </w:rPr>
        <w:t>I</w:t>
      </w:r>
      <w:r w:rsidRPr="0084577C">
        <w:rPr>
          <w:b/>
          <w:spacing w:val="-1"/>
          <w:sz w:val="28"/>
          <w:szCs w:val="28"/>
        </w:rPr>
        <w:t>NE</w:t>
      </w:r>
      <w:r w:rsidRPr="0084577C">
        <w:rPr>
          <w:b/>
          <w:spacing w:val="1"/>
          <w:sz w:val="28"/>
          <w:szCs w:val="28"/>
        </w:rPr>
        <w:t>R</w:t>
      </w:r>
      <w:r w:rsidRPr="0084577C">
        <w:rPr>
          <w:b/>
          <w:sz w:val="28"/>
          <w:szCs w:val="28"/>
        </w:rPr>
        <w:t xml:space="preserve">JA </w:t>
      </w:r>
      <w:r w:rsidRPr="0084577C">
        <w:rPr>
          <w:b/>
          <w:spacing w:val="1"/>
          <w:sz w:val="28"/>
          <w:szCs w:val="28"/>
        </w:rPr>
        <w:t>K</w:t>
      </w:r>
      <w:r w:rsidRPr="0084577C">
        <w:rPr>
          <w:b/>
          <w:spacing w:val="-1"/>
          <w:sz w:val="28"/>
          <w:szCs w:val="28"/>
        </w:rPr>
        <w:t>EUAN</w:t>
      </w:r>
      <w:r w:rsidRPr="0084577C">
        <w:rPr>
          <w:b/>
          <w:spacing w:val="1"/>
          <w:sz w:val="28"/>
          <w:szCs w:val="28"/>
        </w:rPr>
        <w:t>G</w:t>
      </w:r>
      <w:r w:rsidRPr="0084577C">
        <w:rPr>
          <w:b/>
          <w:spacing w:val="-1"/>
          <w:sz w:val="28"/>
          <w:szCs w:val="28"/>
        </w:rPr>
        <w:t>A</w:t>
      </w:r>
      <w:r w:rsidRPr="0084577C">
        <w:rPr>
          <w:b/>
          <w:sz w:val="28"/>
          <w:szCs w:val="28"/>
        </w:rPr>
        <w:t xml:space="preserve">N </w:t>
      </w:r>
      <w:r w:rsidRPr="0084577C">
        <w:rPr>
          <w:b/>
          <w:spacing w:val="-3"/>
          <w:sz w:val="28"/>
          <w:szCs w:val="28"/>
        </w:rPr>
        <w:t>P</w:t>
      </w:r>
      <w:r w:rsidRPr="0084577C">
        <w:rPr>
          <w:b/>
          <w:spacing w:val="1"/>
          <w:sz w:val="28"/>
          <w:szCs w:val="28"/>
        </w:rPr>
        <w:t>E</w:t>
      </w:r>
      <w:r w:rsidRPr="0084577C">
        <w:rPr>
          <w:b/>
          <w:sz w:val="28"/>
          <w:szCs w:val="28"/>
        </w:rPr>
        <w:t>M</w:t>
      </w:r>
      <w:r w:rsidRPr="0084577C">
        <w:rPr>
          <w:b/>
          <w:spacing w:val="-1"/>
          <w:sz w:val="28"/>
          <w:szCs w:val="28"/>
        </w:rPr>
        <w:t>ER</w:t>
      </w:r>
      <w:r w:rsidRPr="0084577C">
        <w:rPr>
          <w:b/>
          <w:spacing w:val="3"/>
          <w:sz w:val="28"/>
          <w:szCs w:val="28"/>
        </w:rPr>
        <w:t>I</w:t>
      </w:r>
      <w:r w:rsidRPr="0084577C">
        <w:rPr>
          <w:b/>
          <w:spacing w:val="-1"/>
          <w:sz w:val="28"/>
          <w:szCs w:val="28"/>
        </w:rPr>
        <w:t>NT</w:t>
      </w:r>
      <w:r w:rsidRPr="0084577C">
        <w:rPr>
          <w:b/>
          <w:spacing w:val="1"/>
          <w:sz w:val="28"/>
          <w:szCs w:val="28"/>
        </w:rPr>
        <w:t>A</w:t>
      </w:r>
      <w:r w:rsidRPr="0084577C">
        <w:rPr>
          <w:b/>
          <w:sz w:val="28"/>
          <w:szCs w:val="28"/>
        </w:rPr>
        <w:t xml:space="preserve">H </w:t>
      </w:r>
      <w:r w:rsidRPr="0084577C">
        <w:rPr>
          <w:b/>
          <w:spacing w:val="-1"/>
          <w:sz w:val="28"/>
          <w:szCs w:val="28"/>
        </w:rPr>
        <w:t>DA</w:t>
      </w:r>
      <w:r w:rsidRPr="0084577C">
        <w:rPr>
          <w:b/>
          <w:spacing w:val="1"/>
          <w:sz w:val="28"/>
          <w:szCs w:val="28"/>
        </w:rPr>
        <w:t>E</w:t>
      </w:r>
      <w:r w:rsidRPr="0084577C">
        <w:rPr>
          <w:b/>
          <w:spacing w:val="-1"/>
          <w:sz w:val="28"/>
          <w:szCs w:val="28"/>
        </w:rPr>
        <w:t>RA</w:t>
      </w:r>
      <w:r w:rsidRPr="0084577C">
        <w:rPr>
          <w:b/>
          <w:sz w:val="28"/>
          <w:szCs w:val="28"/>
        </w:rPr>
        <w:t xml:space="preserve">H </w:t>
      </w:r>
      <w:r w:rsidRPr="0084577C">
        <w:rPr>
          <w:b/>
          <w:spacing w:val="-1"/>
          <w:sz w:val="28"/>
          <w:szCs w:val="28"/>
        </w:rPr>
        <w:t>DA</w:t>
      </w:r>
      <w:r w:rsidRPr="0084577C">
        <w:rPr>
          <w:b/>
          <w:sz w:val="28"/>
          <w:szCs w:val="28"/>
        </w:rPr>
        <w:t>N</w:t>
      </w:r>
    </w:p>
    <w:p w:rsidR="006F315E" w:rsidRPr="0084577C" w:rsidRDefault="006F315E" w:rsidP="006F315E">
      <w:pPr>
        <w:spacing w:line="276" w:lineRule="auto"/>
        <w:jc w:val="center"/>
        <w:rPr>
          <w:sz w:val="28"/>
          <w:szCs w:val="28"/>
        </w:rPr>
      </w:pPr>
      <w:r w:rsidRPr="0084577C">
        <w:rPr>
          <w:b/>
          <w:spacing w:val="-1"/>
          <w:sz w:val="28"/>
          <w:szCs w:val="28"/>
        </w:rPr>
        <w:t>DET</w:t>
      </w:r>
      <w:r w:rsidRPr="0084577C">
        <w:rPr>
          <w:b/>
          <w:spacing w:val="1"/>
          <w:sz w:val="28"/>
          <w:szCs w:val="28"/>
        </w:rPr>
        <w:t>EK</w:t>
      </w:r>
      <w:r w:rsidRPr="0084577C">
        <w:rPr>
          <w:b/>
          <w:spacing w:val="-3"/>
          <w:sz w:val="28"/>
          <w:szCs w:val="28"/>
        </w:rPr>
        <w:t>S</w:t>
      </w:r>
      <w:r w:rsidRPr="0084577C">
        <w:rPr>
          <w:b/>
          <w:sz w:val="28"/>
          <w:szCs w:val="28"/>
        </w:rPr>
        <w:t>I</w:t>
      </w:r>
      <w:r>
        <w:rPr>
          <w:b/>
          <w:sz w:val="28"/>
          <w:szCs w:val="28"/>
        </w:rPr>
        <w:t xml:space="preserve"> ILUSI FISKAL</w:t>
      </w:r>
    </w:p>
    <w:p w:rsidR="006F315E" w:rsidRDefault="006F315E" w:rsidP="006F315E">
      <w:pPr>
        <w:spacing w:line="276" w:lineRule="auto"/>
        <w:jc w:val="center"/>
        <w:rPr>
          <w:b/>
          <w:sz w:val="28"/>
          <w:szCs w:val="28"/>
        </w:rPr>
      </w:pPr>
      <w:r w:rsidRPr="0084577C">
        <w:rPr>
          <w:b/>
          <w:spacing w:val="1"/>
          <w:sz w:val="28"/>
          <w:szCs w:val="28"/>
        </w:rPr>
        <w:t>(</w:t>
      </w:r>
      <w:r w:rsidRPr="0084577C">
        <w:rPr>
          <w:b/>
          <w:sz w:val="28"/>
          <w:szCs w:val="28"/>
        </w:rPr>
        <w:t>S</w:t>
      </w:r>
      <w:r w:rsidRPr="0084577C">
        <w:rPr>
          <w:b/>
          <w:spacing w:val="1"/>
          <w:sz w:val="28"/>
          <w:szCs w:val="28"/>
        </w:rPr>
        <w:t>t</w:t>
      </w:r>
      <w:r w:rsidRPr="0084577C">
        <w:rPr>
          <w:b/>
          <w:spacing w:val="-3"/>
          <w:sz w:val="28"/>
          <w:szCs w:val="28"/>
        </w:rPr>
        <w:t>u</w:t>
      </w:r>
      <w:r w:rsidRPr="0084577C">
        <w:rPr>
          <w:b/>
          <w:sz w:val="28"/>
          <w:szCs w:val="28"/>
        </w:rPr>
        <w:t xml:space="preserve">di Kasus di </w:t>
      </w:r>
      <w:r>
        <w:rPr>
          <w:b/>
          <w:spacing w:val="-3"/>
          <w:sz w:val="28"/>
          <w:szCs w:val="28"/>
        </w:rPr>
        <w:t>Kabupaten Bengkayang</w:t>
      </w:r>
      <w:r w:rsidRPr="0084577C">
        <w:rPr>
          <w:b/>
          <w:spacing w:val="2"/>
          <w:sz w:val="28"/>
          <w:szCs w:val="28"/>
        </w:rPr>
        <w:t xml:space="preserve"> </w:t>
      </w:r>
      <w:r w:rsidRPr="0084577C">
        <w:rPr>
          <w:b/>
          <w:spacing w:val="1"/>
          <w:sz w:val="28"/>
          <w:szCs w:val="28"/>
        </w:rPr>
        <w:t>T</w:t>
      </w:r>
      <w:r w:rsidRPr="0084577C">
        <w:rPr>
          <w:b/>
          <w:sz w:val="28"/>
          <w:szCs w:val="28"/>
        </w:rPr>
        <w:t>a</w:t>
      </w:r>
      <w:r w:rsidRPr="0084577C">
        <w:rPr>
          <w:b/>
          <w:spacing w:val="-3"/>
          <w:sz w:val="28"/>
          <w:szCs w:val="28"/>
        </w:rPr>
        <w:t>h</w:t>
      </w:r>
      <w:r w:rsidRPr="0084577C">
        <w:rPr>
          <w:b/>
          <w:sz w:val="28"/>
          <w:szCs w:val="28"/>
        </w:rPr>
        <w:t>un 201</w:t>
      </w:r>
      <w:r>
        <w:rPr>
          <w:b/>
          <w:sz w:val="28"/>
          <w:szCs w:val="28"/>
        </w:rPr>
        <w:t>2</w:t>
      </w:r>
      <w:r w:rsidRPr="0084577C">
        <w:rPr>
          <w:b/>
          <w:sz w:val="28"/>
          <w:szCs w:val="28"/>
        </w:rPr>
        <w:t>-201</w:t>
      </w:r>
      <w:r>
        <w:rPr>
          <w:b/>
          <w:sz w:val="28"/>
          <w:szCs w:val="28"/>
        </w:rPr>
        <w:t>6</w:t>
      </w:r>
      <w:r w:rsidRPr="0084577C">
        <w:rPr>
          <w:b/>
          <w:sz w:val="28"/>
          <w:szCs w:val="28"/>
        </w:rPr>
        <w:t>)</w:t>
      </w:r>
    </w:p>
    <w:p w:rsidR="006F315E" w:rsidRDefault="006F315E" w:rsidP="006F315E">
      <w:pPr>
        <w:spacing w:line="276" w:lineRule="auto"/>
        <w:jc w:val="center"/>
        <w:rPr>
          <w:b/>
          <w:sz w:val="28"/>
          <w:szCs w:val="28"/>
        </w:rPr>
      </w:pPr>
    </w:p>
    <w:p w:rsidR="006F315E" w:rsidRPr="00A80FBC" w:rsidRDefault="006F315E" w:rsidP="006F315E">
      <w:pPr>
        <w:spacing w:line="276" w:lineRule="auto"/>
        <w:jc w:val="center"/>
        <w:rPr>
          <w:b/>
        </w:rPr>
      </w:pPr>
      <w:r w:rsidRPr="00A80FBC">
        <w:rPr>
          <w:b/>
        </w:rPr>
        <w:t>Juliandi Disman D. Marpaung</w:t>
      </w:r>
    </w:p>
    <w:p w:rsidR="006F315E" w:rsidRPr="00A80FBC" w:rsidRDefault="006F315E" w:rsidP="006F315E">
      <w:pPr>
        <w:spacing w:line="276" w:lineRule="auto"/>
        <w:jc w:val="center"/>
        <w:rPr>
          <w:sz w:val="28"/>
          <w:szCs w:val="28"/>
        </w:rPr>
      </w:pPr>
      <w:r w:rsidRPr="00A80FBC">
        <w:t>Program Studi</w:t>
      </w:r>
      <w:r>
        <w:t xml:space="preserve"> Magister Akuntansi Fakultas ekonomi dan Bisnis Universitas Tanjungpura</w:t>
      </w:r>
    </w:p>
    <w:p w:rsidR="006F315E" w:rsidRDefault="006F315E" w:rsidP="006F315E">
      <w:pPr>
        <w:spacing w:line="276" w:lineRule="auto"/>
        <w:jc w:val="center"/>
        <w:rPr>
          <w:b/>
          <w:sz w:val="28"/>
          <w:szCs w:val="28"/>
        </w:rPr>
      </w:pPr>
    </w:p>
    <w:p w:rsidR="006F315E" w:rsidRDefault="006F315E" w:rsidP="006F315E">
      <w:pPr>
        <w:spacing w:line="276" w:lineRule="auto"/>
        <w:jc w:val="center"/>
        <w:rPr>
          <w:b/>
          <w:sz w:val="28"/>
          <w:szCs w:val="28"/>
        </w:rPr>
      </w:pPr>
      <w:r>
        <w:rPr>
          <w:b/>
          <w:sz w:val="28"/>
          <w:szCs w:val="28"/>
        </w:rPr>
        <w:t>DOSEN PEMBIMBING 1</w:t>
      </w:r>
    </w:p>
    <w:p w:rsidR="006F315E" w:rsidRPr="00A80FBC" w:rsidRDefault="006F315E" w:rsidP="006F315E">
      <w:pPr>
        <w:spacing w:line="276" w:lineRule="auto"/>
        <w:jc w:val="center"/>
        <w:rPr>
          <w:b/>
          <w:sz w:val="28"/>
          <w:szCs w:val="28"/>
        </w:rPr>
      </w:pPr>
      <w:r w:rsidRPr="00A80FBC">
        <w:rPr>
          <w:b/>
          <w:sz w:val="28"/>
          <w:szCs w:val="28"/>
        </w:rPr>
        <w:t>DR. Nella Yantiana, M.M, Ak, C.A, CMA</w:t>
      </w:r>
    </w:p>
    <w:p w:rsidR="006F315E" w:rsidRDefault="006F315E" w:rsidP="006F315E">
      <w:pPr>
        <w:spacing w:line="276" w:lineRule="auto"/>
        <w:jc w:val="center"/>
        <w:rPr>
          <w:sz w:val="28"/>
          <w:szCs w:val="28"/>
        </w:rPr>
      </w:pPr>
      <w:r>
        <w:t>Fakultas ekonomi dan Bisnis Universitas Tanjungpura</w:t>
      </w:r>
    </w:p>
    <w:p w:rsidR="006F315E" w:rsidRDefault="006F315E" w:rsidP="006F315E">
      <w:pPr>
        <w:spacing w:line="276" w:lineRule="auto"/>
        <w:jc w:val="center"/>
        <w:rPr>
          <w:sz w:val="28"/>
          <w:szCs w:val="28"/>
        </w:rPr>
      </w:pPr>
    </w:p>
    <w:p w:rsidR="006F315E" w:rsidRDefault="006F315E" w:rsidP="006F315E">
      <w:pPr>
        <w:spacing w:line="276" w:lineRule="auto"/>
        <w:jc w:val="center"/>
        <w:rPr>
          <w:b/>
          <w:sz w:val="28"/>
          <w:szCs w:val="28"/>
        </w:rPr>
      </w:pPr>
      <w:r>
        <w:rPr>
          <w:b/>
          <w:sz w:val="28"/>
          <w:szCs w:val="28"/>
        </w:rPr>
        <w:t>DOSEN PEMBIMBING 2</w:t>
      </w:r>
    </w:p>
    <w:p w:rsidR="006F315E" w:rsidRPr="00A80FBC" w:rsidRDefault="006F315E" w:rsidP="006F315E">
      <w:pPr>
        <w:spacing w:line="276" w:lineRule="auto"/>
        <w:jc w:val="center"/>
        <w:rPr>
          <w:b/>
          <w:sz w:val="28"/>
          <w:szCs w:val="28"/>
        </w:rPr>
      </w:pPr>
      <w:r>
        <w:rPr>
          <w:b/>
          <w:sz w:val="28"/>
          <w:szCs w:val="28"/>
        </w:rPr>
        <w:t>Sudharnoto, S.E, M.M, Ak, CPA</w:t>
      </w:r>
    </w:p>
    <w:p w:rsidR="006F315E" w:rsidRDefault="006F315E" w:rsidP="006F315E">
      <w:pPr>
        <w:spacing w:line="276" w:lineRule="auto"/>
        <w:jc w:val="center"/>
      </w:pPr>
      <w:r>
        <w:t>Fakultas ekonomi dan Bisnis Universitas Tanjungpura</w:t>
      </w:r>
    </w:p>
    <w:p w:rsidR="006F315E" w:rsidRDefault="006F315E" w:rsidP="006F315E">
      <w:pPr>
        <w:spacing w:line="276" w:lineRule="auto"/>
        <w:jc w:val="center"/>
      </w:pPr>
    </w:p>
    <w:p w:rsidR="006F315E" w:rsidRDefault="006F315E" w:rsidP="006F315E">
      <w:pPr>
        <w:spacing w:line="276" w:lineRule="auto"/>
        <w:jc w:val="center"/>
      </w:pPr>
      <w:r>
        <w:t>ABSTRAK</w:t>
      </w:r>
    </w:p>
    <w:p w:rsidR="006F315E" w:rsidRPr="009A61F1" w:rsidRDefault="006F315E" w:rsidP="006F315E">
      <w:pPr>
        <w:widowControl w:val="0"/>
        <w:autoSpaceDE w:val="0"/>
        <w:autoSpaceDN w:val="0"/>
        <w:adjustRightInd w:val="0"/>
        <w:spacing w:line="276" w:lineRule="auto"/>
        <w:ind w:firstLine="567"/>
        <w:jc w:val="both"/>
        <w:rPr>
          <w:i/>
          <w:color w:val="000000"/>
        </w:rPr>
      </w:pPr>
      <w:r w:rsidRPr="009A61F1">
        <w:rPr>
          <w:i/>
          <w:color w:val="000000"/>
        </w:rPr>
        <w:t xml:space="preserve">Penelitian ini bertujuan untuk menganalisis determinan kinerja keuangan serta ilusi fiskal pemerintah daerah yang dilaksanakan pada Kabupaten Bengkayang.     </w:t>
      </w:r>
    </w:p>
    <w:p w:rsidR="006F315E" w:rsidRPr="009A61F1" w:rsidRDefault="006F315E" w:rsidP="006F315E">
      <w:pPr>
        <w:widowControl w:val="0"/>
        <w:autoSpaceDE w:val="0"/>
        <w:autoSpaceDN w:val="0"/>
        <w:adjustRightInd w:val="0"/>
        <w:spacing w:line="276" w:lineRule="auto"/>
        <w:ind w:firstLine="567"/>
        <w:jc w:val="both"/>
        <w:rPr>
          <w:i/>
          <w:color w:val="000000"/>
        </w:rPr>
      </w:pPr>
      <w:r w:rsidRPr="009A61F1">
        <w:rPr>
          <w:i/>
          <w:color w:val="000000"/>
        </w:rPr>
        <w:t xml:space="preserve">Penelitian ini menggunakan metode kuantitatif dengan teknik pengambilan sampel berupa sampling jenuh. Data yang digunakan adalah data laporan keuangan tahun 2012-2016. Analisis determinan kinerja keuangan dilakukan dengan menggunakan persamaan simultan dimana hubungan simultan ditunjukkan oleh hubungan saling mempengaruhi antara PAD dengan belanja daerah. Metode deteksi ilusi fiskal menggunakan pendekatan pendapatan (revenue enchanchement).  </w:t>
      </w:r>
    </w:p>
    <w:p w:rsidR="006F315E" w:rsidRDefault="006F315E" w:rsidP="006F315E">
      <w:pPr>
        <w:widowControl w:val="0"/>
        <w:autoSpaceDE w:val="0"/>
        <w:autoSpaceDN w:val="0"/>
        <w:adjustRightInd w:val="0"/>
        <w:spacing w:line="276" w:lineRule="auto"/>
        <w:ind w:firstLine="567"/>
        <w:jc w:val="both"/>
        <w:rPr>
          <w:i/>
          <w:color w:val="000000"/>
        </w:rPr>
      </w:pPr>
      <w:r w:rsidRPr="009A61F1">
        <w:rPr>
          <w:i/>
          <w:color w:val="000000"/>
        </w:rPr>
        <w:t>Hasil penelitian menunjukkan bahwa terdapat hubungan saling mempengaruhi yang signifikan antara sisi penerimaan (PAD) dengan sisi pengeluaran (belanja daerah). Dana Alokasi Umum (DAU) berpengaruh positif dan signifikan terhadap belanja daerah. Dana Bagi Hasil (DBH) berpengaruh positif dan signifikan terhadap belanja daerah. Penelitian ini juga menemukan bahwa tidak terdapat ilusi fiskal di dalam kinerja keuangan pada pemerintah Kabupaten Bengkayang.</w:t>
      </w:r>
    </w:p>
    <w:p w:rsidR="006F315E" w:rsidRPr="009A61F1" w:rsidRDefault="006F315E" w:rsidP="006F315E">
      <w:pPr>
        <w:widowControl w:val="0"/>
        <w:autoSpaceDE w:val="0"/>
        <w:autoSpaceDN w:val="0"/>
        <w:adjustRightInd w:val="0"/>
        <w:spacing w:line="276" w:lineRule="auto"/>
        <w:ind w:firstLine="567"/>
        <w:jc w:val="both"/>
        <w:rPr>
          <w:i/>
          <w:color w:val="000000"/>
        </w:rPr>
      </w:pPr>
    </w:p>
    <w:p w:rsidR="00D5707D" w:rsidRPr="006A13D1" w:rsidRDefault="006F315E" w:rsidP="006F315E">
      <w:r w:rsidRPr="009A61F1">
        <w:rPr>
          <w:i/>
          <w:color w:val="000000"/>
        </w:rPr>
        <w:t>Kata kunci : Determinan keuangan, Ilusi Fiskal, Pendapatan Asli Daerah, Belanja Daerah.</w:t>
      </w:r>
    </w:p>
    <w:sectPr w:rsidR="00D5707D" w:rsidRPr="006A13D1" w:rsidSect="006A13D1">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rsids>
    <w:rsidRoot w:val="006A13D1"/>
    <w:rsid w:val="00601BDF"/>
    <w:rsid w:val="006A13D1"/>
    <w:rsid w:val="006F315E"/>
    <w:rsid w:val="00C10AC1"/>
    <w:rsid w:val="00CE4E41"/>
    <w:rsid w:val="00D570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5E"/>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2018-10-02T01:48:00Z</dcterms:created>
  <dcterms:modified xsi:type="dcterms:W3CDTF">2018-10-02T01:49:00Z</dcterms:modified>
</cp:coreProperties>
</file>