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53" w:rsidRPr="004A6994" w:rsidRDefault="00693691" w:rsidP="006E0808">
      <w:pPr>
        <w:pStyle w:val="StyleTitle"/>
        <w:rPr>
          <w:rFonts w:cs="Times New Roman"/>
          <w:szCs w:val="24"/>
        </w:rPr>
      </w:pPr>
      <w:r w:rsidRPr="00693691">
        <w:rPr>
          <w:rFonts w:cs="Times New Roman"/>
          <w:sz w:val="28"/>
          <w:szCs w:val="28"/>
        </w:rPr>
        <w:t>SUBSTITUSI TEPUNG TERIGU DENGAN UBI UNGU KUKUS PADA PEMBUATAN KUE BINGKE</w:t>
      </w:r>
    </w:p>
    <w:p w:rsidR="00BB3D38" w:rsidRPr="004A6994" w:rsidRDefault="00BB3D38" w:rsidP="00DB7253">
      <w:pPr>
        <w:jc w:val="center"/>
        <w:rPr>
          <w:sz w:val="22"/>
          <w:szCs w:val="22"/>
        </w:rPr>
      </w:pPr>
    </w:p>
    <w:p w:rsidR="006E0808" w:rsidRPr="00E6686E" w:rsidRDefault="00693691" w:rsidP="003F0A4C">
      <w:pPr>
        <w:jc w:val="center"/>
        <w:rPr>
          <w:b/>
          <w:bCs/>
          <w:lang w:val="id-ID"/>
        </w:rPr>
      </w:pPr>
      <w:r>
        <w:rPr>
          <w:b/>
          <w:bCs/>
        </w:rPr>
        <w:t>Hartono</w:t>
      </w:r>
      <w:r w:rsidR="006E0808" w:rsidRPr="00E6686E">
        <w:rPr>
          <w:b/>
          <w:bCs/>
          <w:lang w:val="id-ID"/>
        </w:rPr>
        <w:t xml:space="preserve">, </w:t>
      </w:r>
      <w:r>
        <w:rPr>
          <w:b/>
          <w:bCs/>
        </w:rPr>
        <w:t>Suko Priyono</w:t>
      </w:r>
      <w:r w:rsidR="006E0808" w:rsidRPr="00E6686E">
        <w:rPr>
          <w:b/>
          <w:bCs/>
          <w:vertAlign w:val="superscript"/>
        </w:rPr>
        <w:t xml:space="preserve"> 2</w:t>
      </w:r>
      <w:r w:rsidR="006E0808" w:rsidRPr="00E6686E">
        <w:rPr>
          <w:b/>
          <w:bCs/>
          <w:lang w:val="id-ID"/>
        </w:rPr>
        <w:t xml:space="preserve">, </w:t>
      </w:r>
      <w:r w:rsidR="003F0A4C">
        <w:rPr>
          <w:b/>
          <w:bCs/>
        </w:rPr>
        <w:t>Lucky Hartanti</w:t>
      </w:r>
      <w:r w:rsidR="003F0A4C">
        <w:rPr>
          <w:b/>
          <w:bCs/>
          <w:vertAlign w:val="superscript"/>
        </w:rPr>
        <w:t xml:space="preserve"> 2</w:t>
      </w:r>
    </w:p>
    <w:p w:rsidR="00BC1A77" w:rsidRPr="00BC1A77" w:rsidRDefault="000B4C78" w:rsidP="003F0A4C">
      <w:pPr>
        <w:jc w:val="center"/>
      </w:pPr>
      <w:r w:rsidRPr="00BC1A77">
        <w:rPr>
          <w:vertAlign w:val="superscript"/>
        </w:rPr>
        <w:t>1</w:t>
      </w:r>
      <w:r w:rsidR="003F0A4C" w:rsidRPr="00BC1A77">
        <w:t>M</w:t>
      </w:r>
      <w:r w:rsidR="00BC1A77" w:rsidRPr="00BC1A77">
        <w:t>ahasiswa Fakultas Pertanian</w:t>
      </w:r>
    </w:p>
    <w:p w:rsidR="003F0A4C" w:rsidRPr="00E6686E" w:rsidRDefault="00BC1A77" w:rsidP="003F0A4C">
      <w:pPr>
        <w:jc w:val="center"/>
      </w:pPr>
      <w:r>
        <w:rPr>
          <w:vertAlign w:val="superscript"/>
        </w:rPr>
        <w:t>2</w:t>
      </w:r>
      <w:r w:rsidR="003F0A4C" w:rsidRPr="00BC1A77">
        <w:t xml:space="preserve">Dosen Ilmu dan Teknologi Pangan Fakultas Pertanian </w:t>
      </w:r>
      <w:r w:rsidR="003F0A4C">
        <w:t>Universitas Tanjungpura</w:t>
      </w:r>
    </w:p>
    <w:p w:rsidR="000B4C78" w:rsidRPr="00E6686E" w:rsidRDefault="000B4C78" w:rsidP="00DB7253">
      <w:pPr>
        <w:jc w:val="center"/>
      </w:pPr>
    </w:p>
    <w:p w:rsidR="008A2CFC" w:rsidRPr="00E6686E" w:rsidRDefault="006E0808" w:rsidP="005F1DF9">
      <w:pPr>
        <w:jc w:val="center"/>
      </w:pPr>
      <w:r w:rsidRPr="00E6686E">
        <w:rPr>
          <w:b/>
          <w:lang w:val="id-ID"/>
        </w:rPr>
        <w:t>e</w:t>
      </w:r>
      <w:r w:rsidRPr="00E6686E">
        <w:rPr>
          <w:b/>
        </w:rPr>
        <w:t>-</w:t>
      </w:r>
      <w:r w:rsidRPr="00E6686E">
        <w:rPr>
          <w:b/>
          <w:lang w:val="id-ID"/>
        </w:rPr>
        <w:t>mail</w:t>
      </w:r>
      <w:r w:rsidR="003F0A4C">
        <w:rPr>
          <w:b/>
        </w:rPr>
        <w:t xml:space="preserve">: </w:t>
      </w:r>
      <w:r w:rsidR="00693691">
        <w:rPr>
          <w:b/>
        </w:rPr>
        <w:t>hartonoanton600</w:t>
      </w:r>
      <w:r w:rsidR="003F0A4C">
        <w:rPr>
          <w:b/>
        </w:rPr>
        <w:t>@gmail.com</w:t>
      </w:r>
    </w:p>
    <w:p w:rsidR="00FE0551" w:rsidRDefault="00FE0551" w:rsidP="00FE0551">
      <w:pPr>
        <w:jc w:val="center"/>
        <w:rPr>
          <w:iCs/>
          <w:lang w:val="id-ID"/>
        </w:rPr>
      </w:pPr>
      <w:bookmarkStart w:id="0" w:name="_Hlk478983197"/>
    </w:p>
    <w:p w:rsidR="00FE0551" w:rsidRDefault="00FE0551" w:rsidP="00FE0551">
      <w:pPr>
        <w:spacing w:after="120"/>
        <w:jc w:val="center"/>
        <w:rPr>
          <w:b/>
          <w:iCs/>
        </w:rPr>
      </w:pPr>
      <w:r>
        <w:rPr>
          <w:b/>
          <w:iCs/>
        </w:rPr>
        <w:t>ABSTRAK</w:t>
      </w:r>
    </w:p>
    <w:p w:rsidR="00AB4476" w:rsidRPr="008C3032" w:rsidRDefault="005915B4" w:rsidP="00AB4476">
      <w:pPr>
        <w:ind w:firstLine="720"/>
        <w:jc w:val="both"/>
        <w:rPr>
          <w:bCs/>
        </w:rPr>
      </w:pPr>
      <w:r w:rsidRPr="002F7735">
        <w:t xml:space="preserve"> </w:t>
      </w:r>
      <w:r w:rsidR="00AB4476" w:rsidRPr="008C3032">
        <w:t xml:space="preserve">Penelitian ini bertujuan </w:t>
      </w:r>
      <w:r w:rsidR="00AB4476" w:rsidRPr="008C3032">
        <w:rPr>
          <w:bCs/>
        </w:rPr>
        <w:t xml:space="preserve">untuk </w:t>
      </w:r>
      <w:r w:rsidR="00AB4476" w:rsidRPr="008C3032">
        <w:t xml:space="preserve">mengetahui substitusi terbaik </w:t>
      </w:r>
      <w:r w:rsidR="00AB4476" w:rsidRPr="008C3032">
        <w:rPr>
          <w:bCs/>
        </w:rPr>
        <w:t xml:space="preserve">tepung terigu dengan ubi ungu kukus dalam pembuatan kue bingke dan untuk mendapatkan produk bingke ungu dengan komposisi yang paling disukai konsumen. </w:t>
      </w:r>
      <w:r w:rsidR="00AB4476" w:rsidRPr="008C3032">
        <w:t>Penelitian ini menggunakan rancangan acak kelompok (RAK) satu faktor yaitu rasio formulasi antara tepung terigu dengan ubi ungu kukus diulang sebanyak 4 kali pengulangan dengan 6 taraf. Parameter pengamatan yang diukur adalah kadar air, total padatan terlarut (TPT), kadar protein dan sensori. Data ya</w:t>
      </w:r>
      <w:r w:rsidR="00AB4476">
        <w:t xml:space="preserve">ng diperoleh dianalisis dengan </w:t>
      </w:r>
      <w:r w:rsidR="00AB4476" w:rsidRPr="008C3032">
        <w:t xml:space="preserve">uji ANOVA taraf uji 5%, dengan uji lanjut menggunakan </w:t>
      </w:r>
      <w:r w:rsidR="00AB4476" w:rsidRPr="00EC43AC">
        <w:t>uji Duncan’s Multiple Range Test</w:t>
      </w:r>
      <w:r w:rsidR="00AB4476" w:rsidRPr="008C3032">
        <w:t xml:space="preserve"> (DMRT) dengan taraf 5%. Hasil penelitian menunjukkan perlakuan terbaik yaitu bingke dengan 5</w:t>
      </w:r>
      <w:r w:rsidR="009B0234">
        <w:t>0g</w:t>
      </w:r>
      <w:r w:rsidR="00AB4476" w:rsidRPr="008C3032">
        <w:t xml:space="preserve"> ubi ungu dan </w:t>
      </w:r>
      <w:r w:rsidR="009B0234">
        <w:t>0g</w:t>
      </w:r>
      <w:r w:rsidR="00AB4476" w:rsidRPr="008C3032">
        <w:t xml:space="preserve"> tepung terigu, dengan kadar air 46,91%, total padatan terlarut 18,18</w:t>
      </w:r>
      <w:r w:rsidR="00AB4476" w:rsidRPr="008F127C">
        <w:rPr>
          <w:rFonts w:ascii="Calibri" w:hAnsi="Calibri"/>
        </w:rPr>
        <w:t>°</w:t>
      </w:r>
      <w:r w:rsidR="00AB4476" w:rsidRPr="008C3032">
        <w:t>brix, kadar protein 5,27%. Karakteristik sensori bingke ubi ungu adalah warna 3,87 (agak suka sampai dengan suka), tekstur 3,87 (agak suka sampai dengan suka), rasa 4,10 (suka sampai dengan sangat suka), kemanisan 3,97 (</w:t>
      </w:r>
      <w:r w:rsidR="007815A4">
        <w:t>agak suka sampai dengan suka</w:t>
      </w:r>
      <w:r w:rsidR="00AB4476" w:rsidRPr="008C3032">
        <w:t>) dengan tingkat kesukaa</w:t>
      </w:r>
      <w:r w:rsidR="00096107">
        <w:t xml:space="preserve">n </w:t>
      </w:r>
      <w:r w:rsidR="00AB4476" w:rsidRPr="008C3032">
        <w:t>4,17 (suka sampai dengan sangat suka).</w:t>
      </w:r>
    </w:p>
    <w:p w:rsidR="00FE0551" w:rsidRPr="002F7735" w:rsidRDefault="00FE0551" w:rsidP="00AB4476">
      <w:pPr>
        <w:ind w:firstLine="720"/>
        <w:jc w:val="both"/>
        <w:rPr>
          <w:lang w:val="id-ID"/>
        </w:rPr>
      </w:pPr>
    </w:p>
    <w:p w:rsidR="00FE0551" w:rsidRPr="002F7735" w:rsidRDefault="00FE0551" w:rsidP="002F7735">
      <w:pPr>
        <w:ind w:left="1276" w:hanging="1276"/>
        <w:jc w:val="both"/>
        <w:rPr>
          <w:i/>
        </w:rPr>
      </w:pPr>
      <w:r w:rsidRPr="00E423EC">
        <w:t>Kata kunci:</w:t>
      </w:r>
      <w:r w:rsidR="002F7735" w:rsidRPr="00E423EC">
        <w:t xml:space="preserve"> </w:t>
      </w:r>
      <w:r w:rsidR="00D76AFE" w:rsidRPr="00E423EC">
        <w:t>kue basah</w:t>
      </w:r>
      <w:r w:rsidR="002F7735" w:rsidRPr="00E423EC">
        <w:t xml:space="preserve">, substitusi, </w:t>
      </w:r>
      <w:r w:rsidR="00D76AFE" w:rsidRPr="00E423EC">
        <w:t>tepung, ubi ungu</w:t>
      </w:r>
      <w:r w:rsidR="00FD146C">
        <w:rPr>
          <w:b/>
        </w:rPr>
        <w:t>.</w:t>
      </w:r>
    </w:p>
    <w:p w:rsidR="00FE0551" w:rsidRPr="002F7735" w:rsidRDefault="00FE0551" w:rsidP="00FE0551">
      <w:pPr>
        <w:rPr>
          <w:b/>
          <w:iCs/>
          <w:lang w:val="id-ID"/>
        </w:rPr>
      </w:pPr>
    </w:p>
    <w:p w:rsidR="00FE0551" w:rsidRPr="00693691" w:rsidRDefault="00FE0551" w:rsidP="00FE0551">
      <w:pPr>
        <w:rPr>
          <w:b/>
          <w:i/>
          <w:iCs/>
          <w:color w:val="FF0000"/>
        </w:rPr>
      </w:pPr>
    </w:p>
    <w:p w:rsidR="00FD146C" w:rsidRDefault="00FD146C" w:rsidP="00FD146C">
      <w:pPr>
        <w:spacing w:after="120"/>
        <w:jc w:val="center"/>
        <w:rPr>
          <w:b/>
          <w:iCs/>
        </w:rPr>
      </w:pPr>
      <w:r w:rsidRPr="00C03FBD">
        <w:rPr>
          <w:b/>
          <w:iCs/>
        </w:rPr>
        <w:t>ABSTRACT</w:t>
      </w:r>
    </w:p>
    <w:p w:rsidR="00FD146C" w:rsidRDefault="00FD146C" w:rsidP="00FD146C">
      <w:pPr>
        <w:jc w:val="both"/>
      </w:pPr>
      <w:r>
        <w:rPr>
          <w:b/>
        </w:rPr>
        <w:tab/>
      </w:r>
      <w:r w:rsidRPr="000E6376">
        <w:t xml:space="preserve">This research </w:t>
      </w:r>
      <w:r>
        <w:t>aims</w:t>
      </w:r>
      <w:r w:rsidRPr="000E6376">
        <w:t xml:space="preserve"> to find the best substitution of </w:t>
      </w:r>
      <w:r>
        <w:t xml:space="preserve">wheat </w:t>
      </w:r>
      <w:r w:rsidRPr="000E6376">
        <w:t xml:space="preserve">flour with steamed purple </w:t>
      </w:r>
      <w:r>
        <w:t>sweet potato</w:t>
      </w:r>
      <w:r w:rsidRPr="000E6376">
        <w:t xml:space="preserve"> in</w:t>
      </w:r>
      <w:r>
        <w:t xml:space="preserve"> the</w:t>
      </w:r>
      <w:r w:rsidRPr="000E6376">
        <w:t xml:space="preserve"> making </w:t>
      </w:r>
      <w:r>
        <w:t>of bingke cake</w:t>
      </w:r>
      <w:r w:rsidRPr="000E6376">
        <w:t xml:space="preserve"> and to </w:t>
      </w:r>
      <w:r>
        <w:t>obtain purple bingke composition that is most liked by</w:t>
      </w:r>
      <w:r w:rsidRPr="000E6376">
        <w:t xml:space="preserve"> consumers. This study used a randomized block design (RBD) of one factor, </w:t>
      </w:r>
      <w:r>
        <w:t>that was</w:t>
      </w:r>
      <w:bookmarkStart w:id="1" w:name="_GoBack"/>
      <w:bookmarkEnd w:id="1"/>
      <w:r w:rsidRPr="000E6376">
        <w:t xml:space="preserve"> the ratio of formulation between wheat flour and steamed purple</w:t>
      </w:r>
      <w:r>
        <w:t xml:space="preserve"> sweet potato </w:t>
      </w:r>
      <w:r w:rsidRPr="000E6376">
        <w:t>repeated 4 times with 6 levels. The observed parameters were water content, total dissolved solids (T</w:t>
      </w:r>
      <w:r>
        <w:t>DS</w:t>
      </w:r>
      <w:r w:rsidRPr="000E6376">
        <w:t>), protein</w:t>
      </w:r>
      <w:r>
        <w:t xml:space="preserve"> content,</w:t>
      </w:r>
      <w:r w:rsidRPr="000E6376">
        <w:t xml:space="preserve"> and sensory. The data obtained were analyzed using ANOVA </w:t>
      </w:r>
      <w:r>
        <w:t>with</w:t>
      </w:r>
      <w:r w:rsidRPr="000E6376">
        <w:t xml:space="preserve"> 5%</w:t>
      </w:r>
      <w:r>
        <w:t xml:space="preserve"> significance, with further testing using Duncan’s Multiple Range Test</w:t>
      </w:r>
      <w:r w:rsidRPr="000E6376">
        <w:t xml:space="preserve"> (DMRT) with a level of 5%. The results showed that </w:t>
      </w:r>
      <w:r>
        <w:t>bingke</w:t>
      </w:r>
      <w:r w:rsidRPr="000E6376">
        <w:t xml:space="preserve"> with 5</w:t>
      </w:r>
      <w:r w:rsidR="009B0234">
        <w:t>0g</w:t>
      </w:r>
      <w:r w:rsidRPr="000E6376">
        <w:t xml:space="preserve"> of purple </w:t>
      </w:r>
      <w:r>
        <w:t>sweet potato</w:t>
      </w:r>
      <w:r w:rsidRPr="000E6376">
        <w:t xml:space="preserve"> and </w:t>
      </w:r>
      <w:r w:rsidR="009B0234">
        <w:t>0g</w:t>
      </w:r>
      <w:r w:rsidRPr="000E6376">
        <w:t xml:space="preserve"> of </w:t>
      </w:r>
      <w:r>
        <w:t xml:space="preserve">wheat </w:t>
      </w:r>
      <w:r w:rsidRPr="000E6376">
        <w:t xml:space="preserve">flour, with </w:t>
      </w:r>
      <w:r>
        <w:t>water</w:t>
      </w:r>
      <w:r w:rsidR="007F3F8F">
        <w:t xml:space="preserve"> content of 46,</w:t>
      </w:r>
      <w:r w:rsidRPr="000E6376">
        <w:t>91</w:t>
      </w:r>
      <w:r w:rsidR="007F3F8F">
        <w:t>%, total dissolved solids of 18,</w:t>
      </w:r>
      <w:r w:rsidRPr="000E6376">
        <w:t>18</w:t>
      </w:r>
      <w:r w:rsidRPr="008F127C">
        <w:rPr>
          <w:rFonts w:ascii="Calibri" w:hAnsi="Calibri"/>
        </w:rPr>
        <w:t>°</w:t>
      </w:r>
      <w:r w:rsidR="007F3F8F">
        <w:t>brix, protein content of 5,</w:t>
      </w:r>
      <w:r w:rsidRPr="000E6376">
        <w:t>27%. The sensory characteristics of purpl</w:t>
      </w:r>
      <w:r>
        <w:t xml:space="preserve">e sweet potato were color </w:t>
      </w:r>
      <w:r w:rsidR="007F3F8F">
        <w:t>3,</w:t>
      </w:r>
      <w:r w:rsidRPr="000E6376">
        <w:t>87 (</w:t>
      </w:r>
      <w:r>
        <w:t>quite like to like</w:t>
      </w:r>
      <w:r w:rsidR="007F3F8F">
        <w:t>), texture 3,</w:t>
      </w:r>
      <w:r w:rsidRPr="000E6376">
        <w:t>87 (</w:t>
      </w:r>
      <w:r>
        <w:t>quite like to like</w:t>
      </w:r>
      <w:r w:rsidR="007F3F8F">
        <w:t>), sweetness 3,</w:t>
      </w:r>
      <w:r w:rsidRPr="000E6376">
        <w:t>97 (</w:t>
      </w:r>
      <w:r>
        <w:t>quite like to like</w:t>
      </w:r>
      <w:r w:rsidRPr="000E6376">
        <w:t>)</w:t>
      </w:r>
      <w:r>
        <w:t>,</w:t>
      </w:r>
      <w:r w:rsidRPr="000E6376">
        <w:t xml:space="preserve"> with the level of pleasure</w:t>
      </w:r>
      <w:r w:rsidR="00981B60">
        <w:t xml:space="preserve"> </w:t>
      </w:r>
      <w:r w:rsidRPr="000E6376">
        <w:t>4</w:t>
      </w:r>
      <w:r>
        <w:t>.</w:t>
      </w:r>
      <w:r w:rsidRPr="000E6376">
        <w:t>17 (</w:t>
      </w:r>
      <w:r>
        <w:t>like to really like)</w:t>
      </w:r>
      <w:r w:rsidRPr="000E6376">
        <w:t>.</w:t>
      </w:r>
    </w:p>
    <w:p w:rsidR="00FD146C" w:rsidRDefault="00FD146C" w:rsidP="00FD146C">
      <w:pPr>
        <w:jc w:val="both"/>
      </w:pPr>
    </w:p>
    <w:p w:rsidR="00FD146C" w:rsidRPr="000E6376" w:rsidRDefault="00FD146C" w:rsidP="00FD146C">
      <w:pPr>
        <w:jc w:val="both"/>
      </w:pPr>
      <w:r>
        <w:t>Keywords : cake, flour,</w:t>
      </w:r>
      <w:r w:rsidR="00221FB4">
        <w:t xml:space="preserve"> substitution,</w:t>
      </w:r>
      <w:r>
        <w:t xml:space="preserve"> purple sweet potato.</w:t>
      </w:r>
    </w:p>
    <w:p w:rsidR="00FE0551" w:rsidRPr="00693691" w:rsidRDefault="00FE0551" w:rsidP="00FE0551">
      <w:pPr>
        <w:spacing w:after="120"/>
        <w:jc w:val="both"/>
        <w:rPr>
          <w:i/>
          <w:color w:val="FF0000"/>
        </w:rPr>
      </w:pPr>
    </w:p>
    <w:bookmarkEnd w:id="0"/>
    <w:p w:rsidR="003F0A4C" w:rsidRDefault="003F0A4C" w:rsidP="003F0A4C">
      <w:pPr>
        <w:rPr>
          <w:lang w:eastAsia="ar-SA"/>
        </w:rPr>
      </w:pPr>
    </w:p>
    <w:p w:rsidR="00AD07B8" w:rsidRPr="003F0A4C" w:rsidRDefault="00AD07B8" w:rsidP="003F0A4C">
      <w:pPr>
        <w:rPr>
          <w:lang w:eastAsia="ar-SA"/>
        </w:rPr>
        <w:sectPr w:rsidR="00AD07B8" w:rsidRPr="003F0A4C" w:rsidSect="002A7023">
          <w:footerReference w:type="default" r:id="rId8"/>
          <w:pgSz w:w="11907" w:h="16839" w:code="9"/>
          <w:pgMar w:top="1699" w:right="1440" w:bottom="1440" w:left="1699" w:header="720" w:footer="720" w:gutter="0"/>
          <w:cols w:space="720"/>
          <w:docGrid w:linePitch="360"/>
        </w:sectPr>
      </w:pPr>
    </w:p>
    <w:p w:rsidR="003F0A4C" w:rsidRPr="009E5E55" w:rsidRDefault="003F0A4C" w:rsidP="00524B3F">
      <w:pPr>
        <w:pStyle w:val="Heading2"/>
        <w:spacing w:line="276" w:lineRule="auto"/>
        <w:rPr>
          <w:b/>
          <w:szCs w:val="24"/>
        </w:rPr>
      </w:pPr>
      <w:r>
        <w:rPr>
          <w:b/>
          <w:szCs w:val="24"/>
        </w:rPr>
        <w:lastRenderedPageBreak/>
        <w:t>Pendahuluan</w:t>
      </w:r>
    </w:p>
    <w:p w:rsidR="00693691" w:rsidRPr="00E145E2" w:rsidRDefault="00F95075" w:rsidP="004719C9">
      <w:pPr>
        <w:spacing w:line="276" w:lineRule="auto"/>
        <w:ind w:firstLine="720"/>
        <w:jc w:val="both"/>
        <w:rPr>
          <w:color w:val="000000" w:themeColor="text1"/>
        </w:rPr>
      </w:pPr>
      <w:r>
        <w:rPr>
          <w:color w:val="000000" w:themeColor="text1"/>
        </w:rPr>
        <w:t xml:space="preserve">Provinsi </w:t>
      </w:r>
      <w:r w:rsidR="00693691" w:rsidRPr="00E145E2">
        <w:rPr>
          <w:color w:val="000000" w:themeColor="text1"/>
        </w:rPr>
        <w:t>Kalimantan Barat merupakan daerah yang memiliki keanekaragaman budaya, adat istiadat dan makanan tradisional. Khususnya di Kota Pontianak makanan tradisional sudah menjadi</w:t>
      </w:r>
      <w:r w:rsidR="00693691">
        <w:rPr>
          <w:color w:val="000000" w:themeColor="text1"/>
        </w:rPr>
        <w:t xml:space="preserve"> warisan</w:t>
      </w:r>
      <w:r w:rsidR="00693691" w:rsidRPr="00E145E2">
        <w:rPr>
          <w:color w:val="000000" w:themeColor="text1"/>
        </w:rPr>
        <w:t xml:space="preserve"> turun-temurun dari zaman nenek moyang, seperti lempok durian, dodol lidah buaya, semprong dan bin</w:t>
      </w:r>
      <w:r w:rsidR="00693691">
        <w:rPr>
          <w:color w:val="000000" w:themeColor="text1"/>
        </w:rPr>
        <w:t>g</w:t>
      </w:r>
      <w:r w:rsidR="00693691" w:rsidRPr="00E145E2">
        <w:rPr>
          <w:color w:val="000000" w:themeColor="text1"/>
        </w:rPr>
        <w:t>ke. Bin</w:t>
      </w:r>
      <w:r w:rsidR="00693691">
        <w:rPr>
          <w:color w:val="000000" w:themeColor="text1"/>
        </w:rPr>
        <w:t>g</w:t>
      </w:r>
      <w:r w:rsidR="00693691" w:rsidRPr="00E145E2">
        <w:rPr>
          <w:color w:val="000000" w:themeColor="text1"/>
        </w:rPr>
        <w:t xml:space="preserve">ke merupakan makanan tradisional yang menyerupai </w:t>
      </w:r>
      <w:r w:rsidR="00693691">
        <w:rPr>
          <w:color w:val="000000" w:themeColor="text1"/>
        </w:rPr>
        <w:t>k</w:t>
      </w:r>
      <w:r w:rsidR="00693691" w:rsidRPr="00E145E2">
        <w:rPr>
          <w:color w:val="000000" w:themeColor="text1"/>
        </w:rPr>
        <w:t>ue lumpur dengan bahan baku tepung</w:t>
      </w:r>
      <w:r w:rsidR="00693691">
        <w:rPr>
          <w:color w:val="000000" w:themeColor="text1"/>
        </w:rPr>
        <w:t xml:space="preserve"> terigu</w:t>
      </w:r>
      <w:r w:rsidR="00693691" w:rsidRPr="00E145E2">
        <w:rPr>
          <w:color w:val="000000" w:themeColor="text1"/>
        </w:rPr>
        <w:t xml:space="preserve">, gula, susu, santan, telur dan garam. </w:t>
      </w:r>
    </w:p>
    <w:p w:rsidR="00693691" w:rsidRPr="00E145E2" w:rsidRDefault="00693691" w:rsidP="004719C9">
      <w:pPr>
        <w:shd w:val="clear" w:color="auto" w:fill="FFFFFF"/>
        <w:spacing w:line="276" w:lineRule="auto"/>
        <w:ind w:firstLine="720"/>
        <w:jc w:val="both"/>
        <w:rPr>
          <w:color w:val="000000" w:themeColor="text1"/>
        </w:rPr>
      </w:pPr>
      <w:r w:rsidRPr="00E145E2">
        <w:rPr>
          <w:color w:val="000000" w:themeColor="text1"/>
        </w:rPr>
        <w:t>Kue bingke mempunyai tekstur yang lembut dan rasa manis serta tanpa bahan pengawet sintetis. Makanan ini sangat digemari masyarakat Pontianak karena dapat diko</w:t>
      </w:r>
      <w:r>
        <w:rPr>
          <w:color w:val="000000" w:themeColor="text1"/>
        </w:rPr>
        <w:t>n</w:t>
      </w:r>
      <w:r w:rsidRPr="00E145E2">
        <w:rPr>
          <w:color w:val="000000" w:themeColor="text1"/>
        </w:rPr>
        <w:t>sumsi oleh semua kalangan</w:t>
      </w:r>
      <w:r>
        <w:rPr>
          <w:color w:val="000000" w:themeColor="text1"/>
        </w:rPr>
        <w:t>.</w:t>
      </w:r>
      <w:r w:rsidRPr="00E145E2">
        <w:rPr>
          <w:color w:val="000000" w:themeColor="text1"/>
          <w:shd w:val="clear" w:color="auto" w:fill="FFFFFF"/>
        </w:rPr>
        <w:t xml:space="preserve"> </w:t>
      </w:r>
      <w:r>
        <w:rPr>
          <w:color w:val="000000" w:themeColor="text1"/>
          <w:shd w:val="clear" w:color="auto" w:fill="FFFFFF"/>
        </w:rPr>
        <w:t>K</w:t>
      </w:r>
      <w:r w:rsidRPr="00E145E2">
        <w:rPr>
          <w:color w:val="000000" w:themeColor="text1"/>
          <w:shd w:val="clear" w:color="auto" w:fill="FFFFFF"/>
        </w:rPr>
        <w:t xml:space="preserve">ue bingke </w:t>
      </w:r>
      <w:r>
        <w:rPr>
          <w:color w:val="000000" w:themeColor="text1"/>
          <w:shd w:val="clear" w:color="auto" w:fill="FFFFFF"/>
        </w:rPr>
        <w:t>t</w:t>
      </w:r>
      <w:r w:rsidRPr="00E145E2">
        <w:rPr>
          <w:color w:val="000000" w:themeColor="text1"/>
          <w:shd w:val="clear" w:color="auto" w:fill="FFFFFF"/>
        </w:rPr>
        <w:t xml:space="preserve">erdapat dua jenis yaitu, kue bingke kering dan kue bingke basah. Umumnya bingke dicetak bentuk daun semanggi berkelopak enam, tetapi ada juga yang berbentuk bundar, warnanya pun beragam, mulai dari kuning, kuning kecokelatan atau hijau. </w:t>
      </w:r>
      <w:r>
        <w:rPr>
          <w:color w:val="000000" w:themeColor="text1"/>
          <w:shd w:val="clear" w:color="auto" w:fill="FFFFFF"/>
        </w:rPr>
        <w:t>K</w:t>
      </w:r>
      <w:r w:rsidRPr="00E145E2">
        <w:rPr>
          <w:color w:val="000000" w:themeColor="text1"/>
          <w:shd w:val="clear" w:color="auto" w:fill="FFFFFF"/>
        </w:rPr>
        <w:t xml:space="preserve">ue bingke </w:t>
      </w:r>
      <w:r>
        <w:rPr>
          <w:color w:val="000000" w:themeColor="text1"/>
          <w:shd w:val="clear" w:color="auto" w:fill="FFFFFF"/>
        </w:rPr>
        <w:t>umumnya dijual dengan varian</w:t>
      </w:r>
      <w:r w:rsidRPr="00E145E2">
        <w:rPr>
          <w:color w:val="000000" w:themeColor="text1"/>
          <w:shd w:val="clear" w:color="auto" w:fill="FFFFFF"/>
        </w:rPr>
        <w:t xml:space="preserve"> original, namun dengan kemajuan dalam bidang teknologi pangan kue bingke dijual dengan berbagai varian rasa meliputi durian, keju, coklat</w:t>
      </w:r>
      <w:r>
        <w:rPr>
          <w:color w:val="000000" w:themeColor="text1"/>
          <w:shd w:val="clear" w:color="auto" w:fill="FFFFFF"/>
        </w:rPr>
        <w:t xml:space="preserve"> dan pandan.  Tepung terigu merupakan bahan dasar dalam pembuatan kue bingke, dengan memiliki daya serap air yang sangat rendah sehingga akan menghasilkan adonan kue bingke tidak bersifat elastis dan lengket.</w:t>
      </w:r>
    </w:p>
    <w:p w:rsidR="00F95075" w:rsidRDefault="00693691" w:rsidP="004719C9">
      <w:pPr>
        <w:tabs>
          <w:tab w:val="left" w:pos="360"/>
          <w:tab w:val="left" w:pos="540"/>
          <w:tab w:val="left" w:pos="630"/>
        </w:tabs>
        <w:spacing w:line="276" w:lineRule="auto"/>
        <w:ind w:firstLine="720"/>
        <w:jc w:val="both"/>
      </w:pPr>
      <w:r w:rsidRPr="000541F5">
        <w:t>Terigu merupakan hasil pengolahan biji gandum yang umum digunakan</w:t>
      </w:r>
      <w:r>
        <w:t xml:space="preserve"> </w:t>
      </w:r>
      <w:r w:rsidRPr="000541F5">
        <w:t>sebagai bahan baku berbagai produk pangan</w:t>
      </w:r>
      <w:r>
        <w:t xml:space="preserve"> dan kue bingke pada khususnya</w:t>
      </w:r>
      <w:r w:rsidRPr="000541F5">
        <w:t xml:space="preserve">. </w:t>
      </w:r>
      <w:r>
        <w:t>K</w:t>
      </w:r>
      <w:r w:rsidRPr="000541F5">
        <w:t>ebutuhan terigu</w:t>
      </w:r>
      <w:r>
        <w:t xml:space="preserve"> </w:t>
      </w:r>
      <w:r w:rsidRPr="000541F5">
        <w:t xml:space="preserve">di Indonesia masih diperoleh dengan cara mengimpor dalam jumlah besar. </w:t>
      </w:r>
      <w:r>
        <w:t xml:space="preserve">Konsumsi tepung terigu yang semakin meningkat </w:t>
      </w:r>
      <w:r w:rsidRPr="00FC031E">
        <w:t>diharapkan dapat dikurangi dengan</w:t>
      </w:r>
      <w:r>
        <w:t xml:space="preserve"> dilakukan substitusi tepung terigu dengan </w:t>
      </w:r>
    </w:p>
    <w:p w:rsidR="00F95075" w:rsidRDefault="00F95075" w:rsidP="004719C9">
      <w:pPr>
        <w:tabs>
          <w:tab w:val="left" w:pos="360"/>
          <w:tab w:val="left" w:pos="540"/>
          <w:tab w:val="left" w:pos="630"/>
        </w:tabs>
        <w:spacing w:line="276" w:lineRule="auto"/>
        <w:ind w:firstLine="720"/>
        <w:jc w:val="both"/>
      </w:pPr>
    </w:p>
    <w:p w:rsidR="00693691" w:rsidRPr="008B7D82" w:rsidRDefault="00693691" w:rsidP="00E255DC">
      <w:pPr>
        <w:tabs>
          <w:tab w:val="left" w:pos="360"/>
          <w:tab w:val="left" w:pos="540"/>
          <w:tab w:val="left" w:pos="630"/>
        </w:tabs>
        <w:spacing w:line="276" w:lineRule="auto"/>
        <w:jc w:val="both"/>
        <w:rPr>
          <w:color w:val="000000" w:themeColor="text1"/>
        </w:rPr>
      </w:pPr>
      <w:r>
        <w:t>bahan-bahan lokal yang memiliki potensi sebagai bahan baku industri pangan. Pangan lokal yang diketahui dapat digunakan sebagai salah satu bahan substitusi terigu adalah ubi jalar ungu.</w:t>
      </w:r>
    </w:p>
    <w:p w:rsidR="00693691" w:rsidRDefault="00693691" w:rsidP="004719C9">
      <w:pPr>
        <w:spacing w:line="276" w:lineRule="auto"/>
        <w:ind w:firstLine="720"/>
        <w:jc w:val="both"/>
      </w:pPr>
      <w:r>
        <w:t>U</w:t>
      </w:r>
      <w:r w:rsidRPr="00355500">
        <w:t>bi jalar pada umumnya didominasi oleh karbohidrat yang dapat mencapai 27,9% dengan kadar air 68,5% (Depkes, 1981), sedang dalam bentuk tepung karbohidratnya mencapai 85,26% dengan kadar air 7,0%. Zuraida dan Supriati (2008) menyatakan bahwa tepung ubi jalar mempunyai kadar abu dan kadar serat yang lebih tinggi, serta kandungan karbohidrat dan kalori yang hamp</w:t>
      </w:r>
      <w:r>
        <w:t>ir setara dengan tepung terigu. P</w:t>
      </w:r>
      <w:r w:rsidRPr="00355500">
        <w:t>emanfaatan tepung ubi jalar sebagai alternatif sumber karbohidrat yang dapat disub</w:t>
      </w:r>
      <w:r>
        <w:t xml:space="preserve">stitusikan suatu produk </w:t>
      </w:r>
      <w:r w:rsidRPr="00355500">
        <w:t xml:space="preserve">yang bernilai tambah bagi kesehatan. </w:t>
      </w:r>
      <w:r>
        <w:t xml:space="preserve">Pengurangan </w:t>
      </w:r>
      <w:r w:rsidRPr="00355500">
        <w:t>ketergantungan te</w:t>
      </w:r>
      <w:r>
        <w:t>rigu dan pengembangan kue bingke</w:t>
      </w:r>
      <w:r w:rsidRPr="00355500">
        <w:t xml:space="preserve"> perlu dilakuk</w:t>
      </w:r>
      <w:r>
        <w:t>an upaya substitusi dengan bahan</w:t>
      </w:r>
      <w:r w:rsidRPr="00355500">
        <w:t xml:space="preserve"> lain.</w:t>
      </w:r>
      <w:r>
        <w:t xml:space="preserve"> </w:t>
      </w:r>
    </w:p>
    <w:p w:rsidR="00693691" w:rsidRPr="00D26C9C" w:rsidRDefault="00693691" w:rsidP="009A3EBC">
      <w:pPr>
        <w:spacing w:line="276" w:lineRule="auto"/>
        <w:ind w:firstLine="720"/>
        <w:jc w:val="both"/>
      </w:pPr>
      <w:r>
        <w:rPr>
          <w:color w:val="000000" w:themeColor="text1"/>
        </w:rPr>
        <w:t>U</w:t>
      </w:r>
      <w:r w:rsidRPr="00E145E2">
        <w:rPr>
          <w:color w:val="000000" w:themeColor="text1"/>
        </w:rPr>
        <w:t>bi jalar ungu</w:t>
      </w:r>
      <w:r>
        <w:rPr>
          <w:color w:val="000000" w:themeColor="text1"/>
        </w:rPr>
        <w:t xml:space="preserve"> pada dasarnya</w:t>
      </w:r>
      <w:r w:rsidRPr="00E145E2">
        <w:rPr>
          <w:color w:val="000000" w:themeColor="text1"/>
        </w:rPr>
        <w:t xml:space="preserve"> sebagai bahan pangan lokal dapat ditemukan di Daerah Jawa Barat, Jawa Tengah, Jawa Timur, Papua,</w:t>
      </w:r>
      <w:r>
        <w:rPr>
          <w:color w:val="000000" w:themeColor="text1"/>
        </w:rPr>
        <w:t xml:space="preserve"> </w:t>
      </w:r>
      <w:r w:rsidRPr="003A30D4">
        <w:rPr>
          <w:color w:val="000000" w:themeColor="text1"/>
        </w:rPr>
        <w:t>Kalimantan</w:t>
      </w:r>
      <w:r w:rsidRPr="00E145E2">
        <w:rPr>
          <w:color w:val="000000" w:themeColor="text1"/>
        </w:rPr>
        <w:t xml:space="preserve"> dan Sumatera. </w:t>
      </w:r>
      <w:r>
        <w:rPr>
          <w:color w:val="000000" w:themeColor="text1"/>
        </w:rPr>
        <w:t xml:space="preserve">Konsumsi </w:t>
      </w:r>
      <w:r w:rsidRPr="00E145E2">
        <w:rPr>
          <w:color w:val="000000" w:themeColor="text1"/>
        </w:rPr>
        <w:t>penduduk Indonesia</w:t>
      </w:r>
      <w:r>
        <w:rPr>
          <w:color w:val="000000" w:themeColor="text1"/>
        </w:rPr>
        <w:t xml:space="preserve"> terhadap komoditas</w:t>
      </w:r>
      <w:r w:rsidRPr="00E145E2">
        <w:rPr>
          <w:color w:val="000000" w:themeColor="text1"/>
        </w:rPr>
        <w:t xml:space="preserve"> umbi-umbian adalah </w:t>
      </w:r>
      <w:r>
        <w:rPr>
          <w:color w:val="000000" w:themeColor="text1"/>
        </w:rPr>
        <w:t xml:space="preserve">sebesar 164,17 kal/kapita/hari </w:t>
      </w:r>
      <w:r w:rsidRPr="00E145E2">
        <w:rPr>
          <w:color w:val="000000" w:themeColor="text1"/>
        </w:rPr>
        <w:t>(Suprapti, 2009)</w:t>
      </w:r>
      <w:r>
        <w:rPr>
          <w:color w:val="000000" w:themeColor="text1"/>
        </w:rPr>
        <w:t xml:space="preserve">. Bingke yang dikenal selama ini oleh masayarakat memiliki kenampakan berwarna kuning, sehingga perlu dilakukan inovasi untuk menghasilkan olahan kue bingke yang  menarik dari segi warna. Ubi ungu diketahui memiliki pigmen warna ungu yang sangat kuat sehingga dapat digunakan sebagai pemberi warna ungu dalam pembuatan kue bingke sehingga kue bingke yang dihasilkan memiliki warna yang lebih menarik. </w:t>
      </w:r>
      <w:r w:rsidRPr="00C82F8E">
        <w:t xml:space="preserve">Menurut Pakorny </w:t>
      </w:r>
      <w:r w:rsidRPr="00C82F8E">
        <w:rPr>
          <w:i/>
          <w:iCs/>
        </w:rPr>
        <w:t xml:space="preserve">et al., </w:t>
      </w:r>
      <w:r>
        <w:t>(2001) u</w:t>
      </w:r>
      <w:r w:rsidRPr="00C82F8E">
        <w:t xml:space="preserve">bi jalar ungu jenis </w:t>
      </w:r>
      <w:r w:rsidRPr="00C82F8E">
        <w:rPr>
          <w:i/>
          <w:iCs/>
        </w:rPr>
        <w:t xml:space="preserve">Ipomoea batatas </w:t>
      </w:r>
      <w:r w:rsidRPr="00C82F8E">
        <w:t xml:space="preserve">L. </w:t>
      </w:r>
      <w:r w:rsidRPr="00C82F8E">
        <w:rPr>
          <w:i/>
          <w:iCs/>
        </w:rPr>
        <w:t xml:space="preserve">Poir </w:t>
      </w:r>
      <w:r w:rsidRPr="00C82F8E">
        <w:t xml:space="preserve">memiliki warna ungu yang cukup pekat pada </w:t>
      </w:r>
      <w:r w:rsidRPr="00C82F8E">
        <w:lastRenderedPageBreak/>
        <w:t>daging ubinya, sehingga banyak menarik perhatian.</w:t>
      </w:r>
      <w:r>
        <w:t xml:space="preserve"> Menurut</w:t>
      </w:r>
      <w:r w:rsidRPr="00C82F8E">
        <w:t xml:space="preserve"> Timberlake dan Bridle (1982) warna ungu pada ubi jalar disebabkan oleh adanya pigmen ungu antosianin yang menyebar dari bagian kulit sampai dengan daging ubinya</w:t>
      </w:r>
      <w:r>
        <w:rPr>
          <w:color w:val="000000" w:themeColor="text1"/>
        </w:rPr>
        <w:t>. Pigmen warna ungu dalam ubi ungu diketahui merupakan senyawa bioaktif antosianin yang merupakan turunan flavonoid</w:t>
      </w:r>
      <w:r w:rsidRPr="00C82F8E">
        <w:t>. Konsentrasi antosianin inilah yang menyebabkan beberapa jenis ubi ungu mempunyai gradasi warna ungu yang berbeda (Yang dan Gadi, 2008).</w:t>
      </w:r>
    </w:p>
    <w:p w:rsidR="00693691" w:rsidRDefault="00693691" w:rsidP="004719C9">
      <w:pPr>
        <w:autoSpaceDE w:val="0"/>
        <w:autoSpaceDN w:val="0"/>
        <w:adjustRightInd w:val="0"/>
        <w:spacing w:line="276" w:lineRule="auto"/>
        <w:ind w:firstLine="720"/>
        <w:jc w:val="both"/>
        <w:rPr>
          <w:color w:val="000000" w:themeColor="text1"/>
        </w:rPr>
      </w:pPr>
      <w:r>
        <w:rPr>
          <w:color w:val="000000" w:themeColor="text1"/>
        </w:rPr>
        <w:t xml:space="preserve">Kue bingke yang telah ada dipasaran umumnya dibuat dengan bahan dasar terigu, dan bewarna kuning. Beberapa produsen juga telah memproduksi kue bingke dengan warna lain seperti warna hijau yang identik dengan aroma daun pandan dan pewarna tambahan. Ubi ungu memberikan warna alami pada bingke yang berasal dari pigmen warna ubi ungu. Sebagian  masyarakat </w:t>
      </w:r>
      <w:r w:rsidR="00C64569">
        <w:rPr>
          <w:color w:val="000000" w:themeColor="text1"/>
        </w:rPr>
        <w:t xml:space="preserve">Kalimantan Barat </w:t>
      </w:r>
      <w:r>
        <w:rPr>
          <w:color w:val="000000" w:themeColor="text1"/>
        </w:rPr>
        <w:t>memanfaatkan ubi ungu hanya di olah menjadi ubi rebus dan digoreng. Diversifikasi olahan kue bingke menggunakan bahan dasar ubi ungu komoditas lokal berpotensi untuk dikembangkan sebagai bahan penganti tepung terigu, sehingga menghasilkan kue bingke dengan berbagai macam pilihan warna dan rasa yang lebih menarik. Substitusi tepung terigu dengan ubi ungu kukus merupakan upaya diversifikasi produk bingke sehingga menghasilkan variasi produk yang beragam, baik dari segi warna, rasa, dan kandungan gizinya. Pengolahan kue bingke yang disubstitusikan dengan ubi ungu belum pernah dilakukan sebelumnya, sehingga perlu dilakukan penelitian untuk mendapatkan produk bingke ubi ungu yang paling disukai konsumen.</w:t>
      </w:r>
    </w:p>
    <w:p w:rsidR="00693691" w:rsidRPr="00693691" w:rsidRDefault="00693691" w:rsidP="004719C9">
      <w:pPr>
        <w:spacing w:line="276" w:lineRule="auto"/>
        <w:ind w:firstLine="720"/>
        <w:jc w:val="both"/>
        <w:rPr>
          <w:bCs/>
          <w:color w:val="000000" w:themeColor="text1"/>
        </w:rPr>
      </w:pPr>
      <w:r>
        <w:rPr>
          <w:color w:val="000000" w:themeColor="text1"/>
        </w:rPr>
        <w:t>Tujuan penelitian</w:t>
      </w:r>
      <w:r w:rsidRPr="00E145E2">
        <w:rPr>
          <w:color w:val="000000" w:themeColor="text1"/>
        </w:rPr>
        <w:t xml:space="preserve"> ini adalah </w:t>
      </w:r>
      <w:r w:rsidRPr="00E145E2">
        <w:rPr>
          <w:bCs/>
          <w:color w:val="000000" w:themeColor="text1"/>
        </w:rPr>
        <w:t xml:space="preserve">untuk </w:t>
      </w:r>
      <w:r>
        <w:rPr>
          <w:color w:val="000000" w:themeColor="text1"/>
        </w:rPr>
        <w:t>mengetahui substitusi</w:t>
      </w:r>
      <w:r w:rsidRPr="00E145E2">
        <w:rPr>
          <w:color w:val="000000" w:themeColor="text1"/>
        </w:rPr>
        <w:t xml:space="preserve"> terbaik </w:t>
      </w:r>
      <w:r>
        <w:rPr>
          <w:bCs/>
          <w:color w:val="000000" w:themeColor="text1"/>
        </w:rPr>
        <w:t xml:space="preserve">tepung terigu </w:t>
      </w:r>
      <w:r>
        <w:rPr>
          <w:bCs/>
          <w:color w:val="000000" w:themeColor="text1"/>
        </w:rPr>
        <w:lastRenderedPageBreak/>
        <w:t xml:space="preserve">dengan ubi ungu kukus </w:t>
      </w:r>
      <w:r w:rsidRPr="00E145E2">
        <w:rPr>
          <w:bCs/>
          <w:color w:val="000000" w:themeColor="text1"/>
        </w:rPr>
        <w:t>dalam pembuatan</w:t>
      </w:r>
      <w:r>
        <w:rPr>
          <w:bCs/>
          <w:color w:val="000000" w:themeColor="text1"/>
        </w:rPr>
        <w:t xml:space="preserve"> kue</w:t>
      </w:r>
      <w:r w:rsidRPr="00E145E2">
        <w:rPr>
          <w:bCs/>
          <w:color w:val="000000" w:themeColor="text1"/>
        </w:rPr>
        <w:t xml:space="preserve"> bingke</w:t>
      </w:r>
      <w:r>
        <w:rPr>
          <w:bCs/>
          <w:color w:val="000000" w:themeColor="text1"/>
        </w:rPr>
        <w:t xml:space="preserve"> dan untuk mendapatkan produk bingke ungu dengan komposisi yang paling disukai konsumen.</w:t>
      </w:r>
    </w:p>
    <w:p w:rsidR="00AD07B8" w:rsidRDefault="00AD07B8" w:rsidP="004719C9">
      <w:pPr>
        <w:spacing w:line="276" w:lineRule="auto"/>
        <w:jc w:val="both"/>
      </w:pPr>
    </w:p>
    <w:p w:rsidR="003F0A4C" w:rsidRDefault="00734D9A" w:rsidP="004719C9">
      <w:pPr>
        <w:pStyle w:val="Heading1"/>
        <w:tabs>
          <w:tab w:val="left" w:pos="0"/>
        </w:tabs>
        <w:spacing w:line="276" w:lineRule="auto"/>
        <w:rPr>
          <w:sz w:val="24"/>
          <w:szCs w:val="24"/>
        </w:rPr>
      </w:pPr>
      <w:r w:rsidRPr="00E6686E">
        <w:rPr>
          <w:sz w:val="24"/>
          <w:szCs w:val="24"/>
        </w:rPr>
        <w:t>Metode Penelitian</w:t>
      </w:r>
      <w:bookmarkStart w:id="2" w:name="_Toc499153341"/>
      <w:bookmarkStart w:id="3" w:name="_Toc499233021"/>
      <w:bookmarkStart w:id="4" w:name="_Toc504390865"/>
    </w:p>
    <w:p w:rsidR="003F0A4C" w:rsidRPr="003F0A4C" w:rsidRDefault="003F0A4C" w:rsidP="004719C9">
      <w:pPr>
        <w:pStyle w:val="Heading1"/>
        <w:tabs>
          <w:tab w:val="left" w:pos="0"/>
        </w:tabs>
        <w:spacing w:line="276" w:lineRule="auto"/>
        <w:rPr>
          <w:sz w:val="24"/>
          <w:szCs w:val="24"/>
        </w:rPr>
      </w:pPr>
      <w:r w:rsidRPr="00EB5D55">
        <w:rPr>
          <w:sz w:val="24"/>
          <w:szCs w:val="24"/>
        </w:rPr>
        <w:t>Waktu dan Tempat Penelitian</w:t>
      </w:r>
      <w:bookmarkEnd w:id="2"/>
      <w:bookmarkEnd w:id="3"/>
      <w:bookmarkEnd w:id="4"/>
    </w:p>
    <w:p w:rsidR="00AD07B8" w:rsidRPr="00693691" w:rsidRDefault="00E72DF7" w:rsidP="004719C9">
      <w:pPr>
        <w:spacing w:after="240" w:line="276" w:lineRule="auto"/>
        <w:ind w:firstLine="720"/>
        <w:jc w:val="both"/>
      </w:pPr>
      <w:bookmarkStart w:id="5" w:name="_Toc499153342"/>
      <w:bookmarkStart w:id="6" w:name="_Toc499233022"/>
      <w:bookmarkStart w:id="7" w:name="_Toc504390866"/>
      <w:r>
        <w:t xml:space="preserve">Penelitian </w:t>
      </w:r>
      <w:r w:rsidR="00693691" w:rsidRPr="009D6084">
        <w:t xml:space="preserve">dilakukan di Laboratorium Teknologi </w:t>
      </w:r>
      <w:r w:rsidR="00693691">
        <w:t xml:space="preserve">Hasil Pertanian </w:t>
      </w:r>
      <w:r w:rsidR="00693691" w:rsidRPr="009D6084">
        <w:t>Fakultas Pe</w:t>
      </w:r>
      <w:r w:rsidR="00693691">
        <w:t>rtanian Universitas Tanjungpura dan waktu penelitian direncanakan selama enam bulan.</w:t>
      </w:r>
    </w:p>
    <w:p w:rsidR="003F0A4C" w:rsidRDefault="003F0A4C" w:rsidP="00CD1E69">
      <w:pPr>
        <w:tabs>
          <w:tab w:val="left" w:pos="720"/>
        </w:tabs>
        <w:spacing w:after="240" w:line="276" w:lineRule="auto"/>
        <w:jc w:val="both"/>
        <w:rPr>
          <w:b/>
        </w:rPr>
      </w:pPr>
      <w:r w:rsidRPr="00EB5D55">
        <w:rPr>
          <w:b/>
        </w:rPr>
        <w:t>Bahan dan Alat Penelitian</w:t>
      </w:r>
      <w:bookmarkEnd w:id="5"/>
      <w:bookmarkEnd w:id="6"/>
      <w:bookmarkEnd w:id="7"/>
    </w:p>
    <w:p w:rsidR="00723F1A" w:rsidRDefault="00723F1A" w:rsidP="004719C9">
      <w:pPr>
        <w:tabs>
          <w:tab w:val="left" w:pos="720"/>
        </w:tabs>
        <w:spacing w:line="276" w:lineRule="auto"/>
        <w:jc w:val="both"/>
        <w:rPr>
          <w:b/>
        </w:rPr>
      </w:pPr>
      <w:r>
        <w:rPr>
          <w:b/>
        </w:rPr>
        <w:t>Bahan Pembuatan Bingke</w:t>
      </w:r>
    </w:p>
    <w:p w:rsidR="00723F1A" w:rsidRDefault="00723F1A" w:rsidP="00723F1A">
      <w:pPr>
        <w:spacing w:after="240"/>
        <w:jc w:val="both"/>
        <w:rPr>
          <w:color w:val="000000" w:themeColor="text1"/>
        </w:rPr>
      </w:pPr>
      <w:r w:rsidRPr="00817295">
        <w:rPr>
          <w:color w:val="000000" w:themeColor="text1"/>
        </w:rPr>
        <w:t>Bahan yang digunakan untuk pembuatan bingke ubi jalar ungu yaitu, telur, santan, gul</w:t>
      </w:r>
      <w:r w:rsidR="00D077BA">
        <w:rPr>
          <w:color w:val="000000" w:themeColor="text1"/>
        </w:rPr>
        <w:t>a pasir</w:t>
      </w:r>
      <w:r>
        <w:rPr>
          <w:color w:val="000000" w:themeColor="text1"/>
        </w:rPr>
        <w:t>, tepung terigu</w:t>
      </w:r>
      <w:r w:rsidR="00D077BA">
        <w:rPr>
          <w:color w:val="000000" w:themeColor="text1"/>
        </w:rPr>
        <w:t xml:space="preserve"> protein sedang</w:t>
      </w:r>
      <w:r>
        <w:rPr>
          <w:color w:val="000000" w:themeColor="text1"/>
        </w:rPr>
        <w:t xml:space="preserve">, garam, krimer </w:t>
      </w:r>
      <w:r w:rsidR="00A27678">
        <w:rPr>
          <w:color w:val="000000" w:themeColor="text1"/>
        </w:rPr>
        <w:t>“</w:t>
      </w:r>
      <w:r>
        <w:rPr>
          <w:color w:val="000000" w:themeColor="text1"/>
        </w:rPr>
        <w:t>dairy champ</w:t>
      </w:r>
      <w:r w:rsidR="00A27678">
        <w:rPr>
          <w:color w:val="000000" w:themeColor="text1"/>
        </w:rPr>
        <w:t>”</w:t>
      </w:r>
      <w:r>
        <w:rPr>
          <w:color w:val="000000" w:themeColor="text1"/>
        </w:rPr>
        <w:t xml:space="preserve">, </w:t>
      </w:r>
      <w:r w:rsidRPr="00817295">
        <w:rPr>
          <w:color w:val="000000" w:themeColor="text1"/>
        </w:rPr>
        <w:t>vanilli</w:t>
      </w:r>
      <w:r>
        <w:rPr>
          <w:color w:val="000000" w:themeColor="text1"/>
        </w:rPr>
        <w:t>.</w:t>
      </w:r>
    </w:p>
    <w:p w:rsidR="00723F1A" w:rsidRPr="00D14C2F" w:rsidRDefault="00723F1A" w:rsidP="00723F1A">
      <w:pPr>
        <w:jc w:val="both"/>
        <w:rPr>
          <w:b/>
          <w:color w:val="000000" w:themeColor="text1"/>
        </w:rPr>
      </w:pPr>
      <w:r w:rsidRPr="00D14C2F">
        <w:rPr>
          <w:b/>
          <w:color w:val="000000" w:themeColor="text1"/>
        </w:rPr>
        <w:t>Bahan analisis</w:t>
      </w:r>
    </w:p>
    <w:p w:rsidR="00723F1A" w:rsidRDefault="00723F1A" w:rsidP="00723F1A">
      <w:pPr>
        <w:spacing w:after="240"/>
        <w:jc w:val="both"/>
        <w:rPr>
          <w:color w:val="000000" w:themeColor="text1"/>
        </w:rPr>
      </w:pPr>
      <w:r w:rsidRPr="006418E2">
        <w:rPr>
          <w:color w:val="000000" w:themeColor="text1"/>
        </w:rPr>
        <w:t>NaOH, Na</w:t>
      </w:r>
      <w:r w:rsidRPr="006418E2">
        <w:rPr>
          <w:color w:val="000000" w:themeColor="text1"/>
          <w:vertAlign w:val="subscript"/>
        </w:rPr>
        <w:t>2</w:t>
      </w:r>
      <w:r w:rsidRPr="006418E2">
        <w:rPr>
          <w:color w:val="000000" w:themeColor="text1"/>
        </w:rPr>
        <w:t>S</w:t>
      </w:r>
      <w:r w:rsidRPr="006418E2">
        <w:rPr>
          <w:color w:val="000000" w:themeColor="text1"/>
          <w:vertAlign w:val="subscript"/>
        </w:rPr>
        <w:t>2</w:t>
      </w:r>
      <w:r w:rsidRPr="006418E2">
        <w:rPr>
          <w:color w:val="000000" w:themeColor="text1"/>
        </w:rPr>
        <w:t>O</w:t>
      </w:r>
      <w:r w:rsidRPr="006418E2">
        <w:rPr>
          <w:color w:val="000000" w:themeColor="text1"/>
          <w:vertAlign w:val="subscript"/>
        </w:rPr>
        <w:t>3</w:t>
      </w:r>
      <w:r w:rsidRPr="006418E2">
        <w:rPr>
          <w:color w:val="000000" w:themeColor="text1"/>
        </w:rPr>
        <w:t>, HCl, H</w:t>
      </w:r>
      <w:r w:rsidRPr="006418E2">
        <w:rPr>
          <w:color w:val="000000" w:themeColor="text1"/>
          <w:vertAlign w:val="subscript"/>
        </w:rPr>
        <w:t>2</w:t>
      </w:r>
      <w:r w:rsidRPr="006418E2">
        <w:rPr>
          <w:color w:val="000000" w:themeColor="text1"/>
        </w:rPr>
        <w:t>SO</w:t>
      </w:r>
      <w:r w:rsidRPr="006418E2">
        <w:rPr>
          <w:color w:val="000000" w:themeColor="text1"/>
          <w:vertAlign w:val="subscript"/>
        </w:rPr>
        <w:t>4</w:t>
      </w:r>
      <w:r w:rsidRPr="006418E2">
        <w:rPr>
          <w:color w:val="000000" w:themeColor="text1"/>
        </w:rPr>
        <w:t>, asam borat akuades dan Selenium</w:t>
      </w:r>
      <w:r>
        <w:rPr>
          <w:color w:val="000000" w:themeColor="text1"/>
        </w:rPr>
        <w:t>.</w:t>
      </w:r>
    </w:p>
    <w:p w:rsidR="00723F1A" w:rsidRPr="00723F1A" w:rsidRDefault="00723F1A" w:rsidP="00723F1A">
      <w:pPr>
        <w:jc w:val="both"/>
        <w:rPr>
          <w:b/>
          <w:color w:val="000000" w:themeColor="text1"/>
        </w:rPr>
      </w:pPr>
      <w:r w:rsidRPr="00723F1A">
        <w:rPr>
          <w:b/>
          <w:color w:val="000000" w:themeColor="text1"/>
        </w:rPr>
        <w:t>Alat Pembuatan Bingke</w:t>
      </w:r>
    </w:p>
    <w:p w:rsidR="00723F1A" w:rsidRDefault="00723F1A" w:rsidP="00CD1E69">
      <w:pPr>
        <w:spacing w:after="240"/>
        <w:jc w:val="both"/>
        <w:rPr>
          <w:color w:val="000000" w:themeColor="text1"/>
        </w:rPr>
      </w:pPr>
      <w:r w:rsidRPr="00AC382D">
        <w:rPr>
          <w:color w:val="000000" w:themeColor="text1"/>
        </w:rPr>
        <w:t>Alat yang digunakan untuk pembuatan kue bingke yaitu, timbangan, kompor gas, oven, mixer, blender, baskom, pisa</w:t>
      </w:r>
      <w:r>
        <w:rPr>
          <w:color w:val="000000" w:themeColor="text1"/>
        </w:rPr>
        <w:t>u, sendok, piring, saringan,</w:t>
      </w:r>
      <w:r w:rsidRPr="00AC382D">
        <w:rPr>
          <w:color w:val="000000" w:themeColor="text1"/>
        </w:rPr>
        <w:t xml:space="preserve"> cetakan bingke</w:t>
      </w:r>
      <w:r>
        <w:rPr>
          <w:color w:val="000000" w:themeColor="text1"/>
        </w:rPr>
        <w:t>.</w:t>
      </w:r>
    </w:p>
    <w:p w:rsidR="00CD1E69" w:rsidRPr="00D14C2F" w:rsidRDefault="00CD1E69" w:rsidP="00CD1E69">
      <w:pPr>
        <w:tabs>
          <w:tab w:val="left" w:pos="0"/>
        </w:tabs>
        <w:jc w:val="both"/>
        <w:rPr>
          <w:b/>
          <w:color w:val="000000" w:themeColor="text1"/>
        </w:rPr>
      </w:pPr>
      <w:r>
        <w:rPr>
          <w:b/>
          <w:color w:val="000000" w:themeColor="text1"/>
        </w:rPr>
        <w:t>Alat Analisis</w:t>
      </w:r>
    </w:p>
    <w:p w:rsidR="00CD1E69" w:rsidRPr="00AC382D" w:rsidRDefault="004D3257" w:rsidP="00CD1E69">
      <w:pPr>
        <w:jc w:val="both"/>
        <w:rPr>
          <w:b/>
          <w:color w:val="000000" w:themeColor="text1"/>
        </w:rPr>
      </w:pPr>
      <w:r>
        <w:rPr>
          <w:color w:val="000000" w:themeColor="text1"/>
        </w:rPr>
        <w:t xml:space="preserve">Labu </w:t>
      </w:r>
      <w:r w:rsidR="00EC04C7">
        <w:rPr>
          <w:color w:val="000000" w:themeColor="text1"/>
        </w:rPr>
        <w:t>e</w:t>
      </w:r>
      <w:r w:rsidR="00CD1E69">
        <w:rPr>
          <w:color w:val="000000" w:themeColor="text1"/>
        </w:rPr>
        <w:t>rlenmeyer, desikator, timbangan, oven, kapas, neraca analitik,penjepit cawan, spatula, botol semprot cawan petri, refractometer dan alat ekstraksi soxhlet</w:t>
      </w:r>
    </w:p>
    <w:p w:rsidR="00EF7748" w:rsidRDefault="00EF7748" w:rsidP="004719C9">
      <w:pPr>
        <w:spacing w:line="276" w:lineRule="auto"/>
        <w:contextualSpacing/>
        <w:jc w:val="both"/>
      </w:pPr>
    </w:p>
    <w:p w:rsidR="00494EA4" w:rsidRPr="00494EA4" w:rsidRDefault="00FB3DBB" w:rsidP="004719C9">
      <w:pPr>
        <w:pStyle w:val="ListParagraph"/>
        <w:spacing w:after="0"/>
        <w:ind w:left="-90"/>
        <w:jc w:val="both"/>
        <w:rPr>
          <w:rFonts w:ascii="Times New Roman" w:hAnsi="Times New Roman" w:cs="Times New Roman"/>
          <w:b/>
          <w:bCs/>
          <w:sz w:val="24"/>
          <w:szCs w:val="24"/>
          <w:lang w:val="en-US"/>
        </w:rPr>
      </w:pPr>
      <w:r w:rsidRPr="00494EA4">
        <w:rPr>
          <w:rFonts w:ascii="Times New Roman" w:hAnsi="Times New Roman" w:cs="Times New Roman"/>
          <w:b/>
          <w:bCs/>
          <w:sz w:val="24"/>
          <w:szCs w:val="24"/>
        </w:rPr>
        <w:t xml:space="preserve">Rancangan </w:t>
      </w:r>
      <w:r w:rsidR="00494EA4" w:rsidRPr="00494EA4">
        <w:rPr>
          <w:rFonts w:ascii="Times New Roman" w:hAnsi="Times New Roman" w:cs="Times New Roman"/>
          <w:b/>
          <w:bCs/>
          <w:sz w:val="24"/>
          <w:szCs w:val="24"/>
          <w:lang w:val="en-US"/>
        </w:rPr>
        <w:t>Penelitian</w:t>
      </w:r>
    </w:p>
    <w:p w:rsidR="004719C9" w:rsidRDefault="004719C9" w:rsidP="004719C9">
      <w:pPr>
        <w:spacing w:line="276" w:lineRule="auto"/>
        <w:ind w:firstLine="720"/>
        <w:jc w:val="both"/>
        <w:rPr>
          <w:color w:val="000000" w:themeColor="text1"/>
        </w:rPr>
      </w:pPr>
      <w:r w:rsidRPr="009D6084">
        <w:rPr>
          <w:color w:val="000000" w:themeColor="text1"/>
        </w:rPr>
        <w:t>Rancangan penelitian yang digunakan adalah rancangan acak kelompok (</w:t>
      </w:r>
      <w:r>
        <w:rPr>
          <w:color w:val="000000" w:themeColor="text1"/>
        </w:rPr>
        <w:t>RAK) s</w:t>
      </w:r>
      <w:r w:rsidR="00E72DF7">
        <w:rPr>
          <w:color w:val="000000" w:themeColor="text1"/>
        </w:rPr>
        <w:t>atu faktor yaitu rasio substitusi</w:t>
      </w:r>
      <w:r>
        <w:rPr>
          <w:color w:val="000000" w:themeColor="text1"/>
        </w:rPr>
        <w:t xml:space="preserve"> antara tepung terigu dengan ubi ungu kukus diulang sebanyak 4 (empat</w:t>
      </w:r>
      <w:r w:rsidRPr="009D6084">
        <w:rPr>
          <w:color w:val="000000" w:themeColor="text1"/>
        </w:rPr>
        <w:t>) kali</w:t>
      </w:r>
      <w:r>
        <w:rPr>
          <w:color w:val="000000" w:themeColor="text1"/>
        </w:rPr>
        <w:t xml:space="preserve"> pengulangan dengan 6 taraf. Taraf Perlakuan </w:t>
      </w:r>
      <w:r w:rsidR="00E72DF7">
        <w:rPr>
          <w:color w:val="000000" w:themeColor="text1"/>
        </w:rPr>
        <w:t>substitusi</w:t>
      </w:r>
      <w:r>
        <w:rPr>
          <w:color w:val="000000" w:themeColor="text1"/>
        </w:rPr>
        <w:t xml:space="preserve"> adalah sebagai berikut:</w:t>
      </w:r>
    </w:p>
    <w:p w:rsidR="004719C9" w:rsidRPr="006540FA" w:rsidRDefault="004719C9" w:rsidP="00CD1E69">
      <w:pPr>
        <w:jc w:val="both"/>
        <w:rPr>
          <w:color w:val="000000" w:themeColor="text1"/>
        </w:rPr>
      </w:pPr>
      <w:r>
        <w:rPr>
          <w:color w:val="000000" w:themeColor="text1"/>
        </w:rPr>
        <w:t>t</w:t>
      </w:r>
      <w:r>
        <w:rPr>
          <w:color w:val="000000" w:themeColor="text1"/>
          <w:vertAlign w:val="subscript"/>
        </w:rPr>
        <w:t xml:space="preserve">0= </w:t>
      </w:r>
      <w:r>
        <w:rPr>
          <w:color w:val="000000" w:themeColor="text1"/>
        </w:rPr>
        <w:t>50g Tepung Terigu ( kontrol )</w:t>
      </w:r>
    </w:p>
    <w:p w:rsidR="004719C9" w:rsidRDefault="004719C9" w:rsidP="00CD1E69">
      <w:pPr>
        <w:ind w:left="426" w:hanging="426"/>
        <w:jc w:val="both"/>
        <w:rPr>
          <w:color w:val="000000" w:themeColor="text1"/>
        </w:rPr>
      </w:pPr>
      <w:r>
        <w:rPr>
          <w:color w:val="000000" w:themeColor="text1"/>
        </w:rPr>
        <w:lastRenderedPageBreak/>
        <w:t>t</w:t>
      </w:r>
      <w:r>
        <w:rPr>
          <w:color w:val="000000" w:themeColor="text1"/>
          <w:vertAlign w:val="subscript"/>
        </w:rPr>
        <w:t xml:space="preserve">1= </w:t>
      </w:r>
      <w:r>
        <w:rPr>
          <w:color w:val="000000" w:themeColor="text1"/>
        </w:rPr>
        <w:t xml:space="preserve">10g Ubi Ungu Kukus : 40g Tepung Terigu </w:t>
      </w:r>
    </w:p>
    <w:p w:rsidR="004719C9" w:rsidRPr="006540FA" w:rsidRDefault="004719C9" w:rsidP="00CD1E69">
      <w:pPr>
        <w:ind w:left="426" w:hanging="426"/>
        <w:jc w:val="both"/>
        <w:rPr>
          <w:color w:val="000000" w:themeColor="text1"/>
        </w:rPr>
      </w:pPr>
      <w:r>
        <w:rPr>
          <w:color w:val="000000" w:themeColor="text1"/>
        </w:rPr>
        <w:t>t</w:t>
      </w:r>
      <w:r>
        <w:rPr>
          <w:color w:val="000000" w:themeColor="text1"/>
          <w:vertAlign w:val="subscript"/>
        </w:rPr>
        <w:t>2=</w:t>
      </w:r>
      <w:r>
        <w:rPr>
          <w:color w:val="000000" w:themeColor="text1"/>
        </w:rPr>
        <w:t xml:space="preserve"> 20g Ubi Ungu Kukus : 30g Tepung Terigu </w:t>
      </w:r>
    </w:p>
    <w:p w:rsidR="004719C9" w:rsidRPr="006540FA" w:rsidRDefault="004719C9" w:rsidP="00CD1E69">
      <w:pPr>
        <w:ind w:left="426" w:hanging="426"/>
        <w:jc w:val="both"/>
        <w:rPr>
          <w:color w:val="000000" w:themeColor="text1"/>
        </w:rPr>
      </w:pPr>
      <w:r>
        <w:rPr>
          <w:color w:val="000000" w:themeColor="text1"/>
        </w:rPr>
        <w:t>t</w:t>
      </w:r>
      <w:r>
        <w:rPr>
          <w:color w:val="000000" w:themeColor="text1"/>
          <w:vertAlign w:val="subscript"/>
        </w:rPr>
        <w:t>3=</w:t>
      </w:r>
      <w:r>
        <w:rPr>
          <w:color w:val="000000" w:themeColor="text1"/>
        </w:rPr>
        <w:t xml:space="preserve"> 30g Ubi Ungu Kukus : 20g Tepung Terigu </w:t>
      </w:r>
    </w:p>
    <w:p w:rsidR="004719C9" w:rsidRDefault="004719C9" w:rsidP="00CD1E69">
      <w:pPr>
        <w:ind w:left="426" w:hanging="426"/>
        <w:jc w:val="both"/>
        <w:rPr>
          <w:color w:val="000000" w:themeColor="text1"/>
        </w:rPr>
      </w:pPr>
      <w:r>
        <w:rPr>
          <w:color w:val="000000" w:themeColor="text1"/>
        </w:rPr>
        <w:t>t</w:t>
      </w:r>
      <w:r>
        <w:rPr>
          <w:color w:val="000000" w:themeColor="text1"/>
          <w:vertAlign w:val="subscript"/>
        </w:rPr>
        <w:t xml:space="preserve">4= </w:t>
      </w:r>
      <w:r>
        <w:rPr>
          <w:color w:val="000000" w:themeColor="text1"/>
        </w:rPr>
        <w:t xml:space="preserve">40g Ubi Ungu Kukus : 10g Tepung Terigu </w:t>
      </w:r>
    </w:p>
    <w:p w:rsidR="004719C9" w:rsidRDefault="004719C9" w:rsidP="00CD1E69">
      <w:pPr>
        <w:ind w:left="426" w:hanging="426"/>
        <w:jc w:val="both"/>
        <w:rPr>
          <w:color w:val="000000" w:themeColor="text1"/>
        </w:rPr>
      </w:pPr>
      <w:r>
        <w:rPr>
          <w:color w:val="000000" w:themeColor="text1"/>
        </w:rPr>
        <w:t>t</w:t>
      </w:r>
      <w:r>
        <w:rPr>
          <w:color w:val="000000" w:themeColor="text1"/>
          <w:vertAlign w:val="subscript"/>
        </w:rPr>
        <w:t xml:space="preserve">5= </w:t>
      </w:r>
      <w:r>
        <w:rPr>
          <w:color w:val="000000" w:themeColor="text1"/>
        </w:rPr>
        <w:t>50g Ubi Ungu Kukus : 0g  Tepung Terigu</w:t>
      </w:r>
    </w:p>
    <w:p w:rsidR="004719C9" w:rsidRPr="00524B3F" w:rsidRDefault="004719C9" w:rsidP="004719C9">
      <w:pPr>
        <w:spacing w:line="276" w:lineRule="auto"/>
        <w:jc w:val="both"/>
        <w:rPr>
          <w:szCs w:val="23"/>
        </w:rPr>
      </w:pPr>
    </w:p>
    <w:p w:rsidR="004719C9" w:rsidRPr="002C74D5" w:rsidRDefault="004719C9" w:rsidP="004719C9">
      <w:pPr>
        <w:pStyle w:val="ListParagraph"/>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Pembuatan kue bingke</w:t>
      </w:r>
    </w:p>
    <w:p w:rsidR="004719C9" w:rsidRDefault="004719C9" w:rsidP="004719C9">
      <w:pPr>
        <w:pStyle w:val="ListParagraph"/>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Siapkan bahan yang akan digunakan dalam pembuatan kue bingke, kemudian kocok telur selama 5 menit hingga rata sampai terlihat berbuih, tambahk</w:t>
      </w:r>
      <w:r w:rsidR="00C64569">
        <w:rPr>
          <w:rFonts w:ascii="Times New Roman" w:hAnsi="Times New Roman" w:cs="Times New Roman"/>
          <w:color w:val="000000" w:themeColor="text1"/>
          <w:sz w:val="24"/>
          <w:szCs w:val="24"/>
          <w:lang w:val="en-US"/>
        </w:rPr>
        <w:t>a</w:t>
      </w:r>
      <w:r w:rsidR="00C6456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bahan-bahan seperti gula pasir</w:t>
      </w:r>
      <w:r w:rsidR="00236367">
        <w:rPr>
          <w:rFonts w:ascii="Times New Roman" w:hAnsi="Times New Roman" w:cs="Times New Roman"/>
          <w:color w:val="000000" w:themeColor="text1"/>
          <w:sz w:val="24"/>
          <w:szCs w:val="24"/>
          <w:lang w:val="en-US"/>
        </w:rPr>
        <w:t xml:space="preserve"> 100g</w:t>
      </w:r>
      <w:r>
        <w:rPr>
          <w:rFonts w:ascii="Times New Roman" w:hAnsi="Times New Roman" w:cs="Times New Roman"/>
          <w:color w:val="000000" w:themeColor="text1"/>
          <w:sz w:val="24"/>
          <w:szCs w:val="24"/>
        </w:rPr>
        <w:t>, vanilli</w:t>
      </w:r>
      <w:r w:rsidR="00236367">
        <w:rPr>
          <w:rFonts w:ascii="Times New Roman" w:hAnsi="Times New Roman" w:cs="Times New Roman"/>
          <w:color w:val="000000" w:themeColor="text1"/>
          <w:sz w:val="24"/>
          <w:szCs w:val="24"/>
          <w:lang w:val="en-US"/>
        </w:rPr>
        <w:t xml:space="preserve"> 2 ml</w:t>
      </w:r>
      <w:r>
        <w:rPr>
          <w:rFonts w:ascii="Times New Roman" w:hAnsi="Times New Roman" w:cs="Times New Roman"/>
          <w:color w:val="000000" w:themeColor="text1"/>
          <w:sz w:val="24"/>
          <w:szCs w:val="24"/>
        </w:rPr>
        <w:t>, garam</w:t>
      </w:r>
      <w:r w:rsidR="00236367">
        <w:rPr>
          <w:rFonts w:ascii="Times New Roman" w:hAnsi="Times New Roman" w:cs="Times New Roman"/>
          <w:color w:val="000000" w:themeColor="text1"/>
          <w:sz w:val="24"/>
          <w:szCs w:val="24"/>
          <w:lang w:val="en-US"/>
        </w:rPr>
        <w:t xml:space="preserve"> 3g</w:t>
      </w:r>
      <w:r>
        <w:rPr>
          <w:rFonts w:ascii="Times New Roman" w:hAnsi="Times New Roman" w:cs="Times New Roman"/>
          <w:color w:val="000000" w:themeColor="text1"/>
          <w:sz w:val="24"/>
          <w:szCs w:val="24"/>
        </w:rPr>
        <w:t xml:space="preserve"> dan tepung terigu</w:t>
      </w:r>
      <w:r w:rsidR="00236367">
        <w:rPr>
          <w:rFonts w:ascii="Times New Roman" w:hAnsi="Times New Roman" w:cs="Times New Roman"/>
          <w:color w:val="000000" w:themeColor="text1"/>
          <w:sz w:val="24"/>
          <w:szCs w:val="24"/>
          <w:lang w:val="en-US"/>
        </w:rPr>
        <w:t xml:space="preserve"> 50g</w:t>
      </w:r>
      <w:r>
        <w:rPr>
          <w:rFonts w:ascii="Times New Roman" w:hAnsi="Times New Roman" w:cs="Times New Roman"/>
          <w:color w:val="000000" w:themeColor="text1"/>
          <w:sz w:val="24"/>
          <w:szCs w:val="24"/>
        </w:rPr>
        <w:t xml:space="preserve"> kemudian diaduk selama 20 menit. Semua adonan sudah tercampur, kemudian siapkan santan kelapa</w:t>
      </w:r>
      <w:r w:rsidR="00236367">
        <w:rPr>
          <w:rFonts w:ascii="Times New Roman" w:hAnsi="Times New Roman" w:cs="Times New Roman"/>
          <w:color w:val="000000" w:themeColor="text1"/>
          <w:sz w:val="24"/>
          <w:szCs w:val="24"/>
          <w:lang w:val="en-US"/>
        </w:rPr>
        <w:t xml:space="preserve"> 280 ml</w:t>
      </w:r>
      <w:r>
        <w:rPr>
          <w:rFonts w:ascii="Times New Roman" w:hAnsi="Times New Roman" w:cs="Times New Roman"/>
          <w:color w:val="000000" w:themeColor="text1"/>
          <w:sz w:val="24"/>
          <w:szCs w:val="24"/>
        </w:rPr>
        <w:t xml:space="preserve"> yang sudah disaring untuk ditambahkan kedalam keadonan</w:t>
      </w:r>
      <w:r w:rsidR="00236367">
        <w:rPr>
          <w:rFonts w:ascii="Times New Roman" w:hAnsi="Times New Roman" w:cs="Times New Roman"/>
          <w:color w:val="000000" w:themeColor="text1"/>
          <w:sz w:val="24"/>
          <w:szCs w:val="24"/>
        </w:rPr>
        <w:t xml:space="preserve"> yang sudah siap, tambahkan </w:t>
      </w:r>
      <w:r w:rsidR="00236367">
        <w:rPr>
          <w:rFonts w:ascii="Times New Roman" w:hAnsi="Times New Roman" w:cs="Times New Roman"/>
          <w:color w:val="000000" w:themeColor="text1"/>
          <w:sz w:val="24"/>
          <w:szCs w:val="24"/>
          <w:lang w:val="en-US"/>
        </w:rPr>
        <w:t>krimer</w:t>
      </w:r>
      <w:r>
        <w:rPr>
          <w:rFonts w:ascii="Times New Roman" w:hAnsi="Times New Roman" w:cs="Times New Roman"/>
          <w:color w:val="000000" w:themeColor="text1"/>
          <w:sz w:val="24"/>
          <w:szCs w:val="24"/>
        </w:rPr>
        <w:t xml:space="preserve"> dan pasta ubi ungu kemudian diaduk kembali selama 5 menit sampai menyatu dengan adonan hingga siap untuk melakukan pemanggangan.</w:t>
      </w:r>
    </w:p>
    <w:p w:rsidR="004719C9" w:rsidRPr="00BF7FD9" w:rsidRDefault="004719C9" w:rsidP="00BF7FD9">
      <w:pPr>
        <w:pStyle w:val="ListParagraph"/>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Proses pematangan dengan dua tahap, tahap pertama yaitu pematangan bagian bawah kue bingke dengan menggunakan kompor biasa dengan waktu 7 menit, tahap kedua dengan menggunakan oven tertutup supaya pematangan lebih cepat, proses pematangan untuk bagian atas kue bingke dengan  waktu 8 menit dan dilihat tanda-tanda kematangan terlihat menggelembung pada bagian atas kue dan berwarna sedikit kecoklatan. Setelah kue bingke masak, proses pemisahan isi kue bingke dengan cetakan didiamkan 5 menit untuk memudahkan pengambilannya.</w:t>
      </w:r>
    </w:p>
    <w:p w:rsidR="007F25A7" w:rsidRPr="00524B3F" w:rsidRDefault="00304273" w:rsidP="004719C9">
      <w:pPr>
        <w:spacing w:line="276" w:lineRule="auto"/>
        <w:jc w:val="both"/>
        <w:rPr>
          <w:b/>
        </w:rPr>
      </w:pPr>
      <w:r w:rsidRPr="00524B3F">
        <w:rPr>
          <w:b/>
        </w:rPr>
        <w:t xml:space="preserve">Variabel </w:t>
      </w:r>
      <w:r w:rsidR="007F25A7" w:rsidRPr="00524B3F">
        <w:rPr>
          <w:b/>
        </w:rPr>
        <w:t>P</w:t>
      </w:r>
      <w:r w:rsidRPr="00524B3F">
        <w:rPr>
          <w:b/>
        </w:rPr>
        <w:t>engamatan</w:t>
      </w:r>
    </w:p>
    <w:p w:rsidR="004719C9" w:rsidRPr="004719C9" w:rsidRDefault="007F25A7" w:rsidP="00CD1E69">
      <w:pPr>
        <w:spacing w:line="276" w:lineRule="auto"/>
        <w:jc w:val="both"/>
        <w:rPr>
          <w:color w:val="000000" w:themeColor="text1"/>
        </w:rPr>
      </w:pPr>
      <w:r w:rsidRPr="004719C9">
        <w:t>Pengamatan yang diukur b</w:t>
      </w:r>
      <w:r w:rsidR="00304273" w:rsidRPr="004719C9">
        <w:t xml:space="preserve">erupa </w:t>
      </w:r>
      <w:r w:rsidR="004719C9">
        <w:rPr>
          <w:color w:val="000000" w:themeColor="text1"/>
        </w:rPr>
        <w:t>kadar protein (m</w:t>
      </w:r>
      <w:r w:rsidR="004719C9" w:rsidRPr="004719C9">
        <w:rPr>
          <w:color w:val="000000" w:themeColor="text1"/>
        </w:rPr>
        <w:t>etode Mikro Kjedhal, Sudarmadji dkk, 1997)</w:t>
      </w:r>
      <w:r w:rsidR="004719C9">
        <w:rPr>
          <w:color w:val="000000" w:themeColor="text1"/>
        </w:rPr>
        <w:t>, analisi total padatan t</w:t>
      </w:r>
      <w:r w:rsidR="004719C9" w:rsidRPr="004719C9">
        <w:rPr>
          <w:color w:val="000000" w:themeColor="text1"/>
        </w:rPr>
        <w:t>erlarut (Pomeranz dan Meloan, 1980)</w:t>
      </w:r>
      <w:r w:rsidR="004719C9">
        <w:rPr>
          <w:color w:val="000000" w:themeColor="text1"/>
        </w:rPr>
        <w:t xml:space="preserve">, </w:t>
      </w:r>
      <w:r w:rsidR="004719C9">
        <w:t>kadar a</w:t>
      </w:r>
      <w:r w:rsidR="004719C9" w:rsidRPr="004719C9">
        <w:t xml:space="preserve">ir </w:t>
      </w:r>
      <w:r w:rsidR="004719C9" w:rsidRPr="004719C9">
        <w:lastRenderedPageBreak/>
        <w:t>(</w:t>
      </w:r>
      <w:r w:rsidR="004719C9" w:rsidRPr="004719C9">
        <w:rPr>
          <w:i/>
          <w:iCs/>
        </w:rPr>
        <w:t>Metode Thermogavimetri</w:t>
      </w:r>
      <w:r w:rsidR="00C64569">
        <w:t>, Sudarmadji</w:t>
      </w:r>
      <w:r w:rsidR="004719C9" w:rsidRPr="004719C9">
        <w:t xml:space="preserve"> dkk, 1997)</w:t>
      </w:r>
      <w:r w:rsidR="004719C9">
        <w:t xml:space="preserve"> </w:t>
      </w:r>
      <w:r w:rsidR="004719C9">
        <w:rPr>
          <w:color w:val="000000" w:themeColor="text1"/>
        </w:rPr>
        <w:t>dan uji o</w:t>
      </w:r>
      <w:r w:rsidR="004719C9" w:rsidRPr="004719C9">
        <w:rPr>
          <w:color w:val="000000" w:themeColor="text1"/>
        </w:rPr>
        <w:t xml:space="preserve">rganoleptik </w:t>
      </w:r>
      <w:r w:rsidR="004719C9" w:rsidRPr="004719C9">
        <w:t>(Baedhowie dan Pianggonowat, 1982)</w:t>
      </w:r>
    </w:p>
    <w:p w:rsidR="007F25A7" w:rsidRPr="00524B3F" w:rsidRDefault="007F25A7" w:rsidP="004719C9">
      <w:pPr>
        <w:spacing w:line="276" w:lineRule="auto"/>
        <w:jc w:val="both"/>
        <w:rPr>
          <w:b/>
        </w:rPr>
      </w:pPr>
      <w:r w:rsidRPr="00524B3F">
        <w:rPr>
          <w:b/>
        </w:rPr>
        <w:t>Analisis Data</w:t>
      </w:r>
    </w:p>
    <w:p w:rsidR="00CD1E69" w:rsidRPr="001736BE" w:rsidRDefault="00CD1E69" w:rsidP="00CD1E69">
      <w:pPr>
        <w:ind w:firstLine="720"/>
        <w:jc w:val="both"/>
      </w:pPr>
      <w:r w:rsidRPr="00A55456">
        <w:t xml:space="preserve">Data hasil penelitian dianalisis secara statistik dengan uji ANOVA 1 faktor dengan taraf uji 5%, jika berpengaruh nyata maka akan dilanjutkan dengan </w:t>
      </w:r>
      <w:r>
        <w:t xml:space="preserve">uji Duncan </w:t>
      </w:r>
      <w:r w:rsidRPr="00A55456">
        <w:t>(</w:t>
      </w:r>
      <w:r>
        <w:t>DMRT</w:t>
      </w:r>
      <w:r w:rsidRPr="00A55456">
        <w:t>) dengan taraf 5% (Hanafiah, 2003).</w:t>
      </w:r>
      <w:r>
        <w:t xml:space="preserve"> Jumlah</w:t>
      </w:r>
      <w:r w:rsidRPr="00A55456">
        <w:t xml:space="preserve"> </w:t>
      </w:r>
      <w:bookmarkStart w:id="8" w:name="_Hlk507531180"/>
      <w:r>
        <w:t>panelis yang terlibat dalam pengujian sensori bingke ubi ungu sebanyak 25</w:t>
      </w:r>
      <w:r w:rsidRPr="00A55456">
        <w:t xml:space="preserve"> orang. Hasil uji organoleptik dianalisis dengan menggunakan metode Kruskall-Wallis (Pudjirahaju dan Astutik, 1999). Penentuan perlakuan terbaik</w:t>
      </w:r>
      <w:r>
        <w:t xml:space="preserve"> menggunakan</w:t>
      </w:r>
      <w:r w:rsidRPr="00A55456">
        <w:t xml:space="preserve"> uji indeks efektifitas metode De Garmo </w:t>
      </w:r>
      <w:r>
        <w:t>dkk.</w:t>
      </w:r>
      <w:r w:rsidRPr="00A55456">
        <w:rPr>
          <w:i/>
        </w:rPr>
        <w:t xml:space="preserve">, </w:t>
      </w:r>
      <w:r w:rsidRPr="00A55456">
        <w:t>(1984)</w:t>
      </w:r>
      <w:bookmarkEnd w:id="8"/>
      <w:r>
        <w:t>.</w:t>
      </w:r>
    </w:p>
    <w:p w:rsidR="00304273" w:rsidRPr="00524B3F" w:rsidRDefault="00734D9A" w:rsidP="00524B3F">
      <w:pPr>
        <w:pStyle w:val="Heading1"/>
        <w:tabs>
          <w:tab w:val="left" w:pos="0"/>
        </w:tabs>
        <w:spacing w:line="276" w:lineRule="auto"/>
        <w:rPr>
          <w:sz w:val="24"/>
          <w:szCs w:val="24"/>
        </w:rPr>
      </w:pPr>
      <w:r w:rsidRPr="00524B3F">
        <w:rPr>
          <w:sz w:val="24"/>
          <w:szCs w:val="24"/>
        </w:rPr>
        <w:t xml:space="preserve">Hasil </w:t>
      </w:r>
      <w:r w:rsidRPr="00524B3F">
        <w:rPr>
          <w:sz w:val="24"/>
          <w:szCs w:val="24"/>
          <w:lang w:val="id-ID"/>
        </w:rPr>
        <w:t>d</w:t>
      </w:r>
      <w:r w:rsidRPr="00524B3F">
        <w:rPr>
          <w:sz w:val="24"/>
          <w:szCs w:val="24"/>
        </w:rPr>
        <w:t xml:space="preserve">an Pembahasan </w:t>
      </w:r>
    </w:p>
    <w:p w:rsidR="008D4320" w:rsidRDefault="00FE0551" w:rsidP="008D4320">
      <w:pPr>
        <w:tabs>
          <w:tab w:val="right" w:pos="8271"/>
        </w:tabs>
        <w:spacing w:line="360" w:lineRule="auto"/>
        <w:jc w:val="both"/>
        <w:rPr>
          <w:b/>
        </w:rPr>
      </w:pPr>
      <w:r>
        <w:rPr>
          <w:b/>
        </w:rPr>
        <w:t xml:space="preserve">1. </w:t>
      </w:r>
      <w:r w:rsidR="008D4320">
        <w:rPr>
          <w:b/>
        </w:rPr>
        <w:t>Analisis Total Padatan Terlarut</w:t>
      </w:r>
    </w:p>
    <w:p w:rsidR="008D4320" w:rsidRPr="00B61991" w:rsidRDefault="00A2225F" w:rsidP="008D4320">
      <w:pPr>
        <w:tabs>
          <w:tab w:val="right" w:pos="8271"/>
        </w:tabs>
        <w:spacing w:line="276" w:lineRule="auto"/>
        <w:ind w:firstLine="567"/>
        <w:jc w:val="both"/>
      </w:pPr>
      <w:r>
        <w:t>Total padatan terlarut atau total dissolved s</w:t>
      </w:r>
      <w:r w:rsidR="008D4320" w:rsidRPr="00B61991">
        <w:t xml:space="preserve">olids (TDS) adalah terlarutnya zat padat, baik berupa senyawa, koloid di dalam air </w:t>
      </w:r>
      <w:r w:rsidR="008D4320" w:rsidRPr="00161802">
        <w:t>(Nicola, 2015).</w:t>
      </w:r>
      <w:r w:rsidR="008D4320">
        <w:t xml:space="preserve"> Pengukuran total padatan terlarut bertujuan untuk menggetahui jumlah padatan yang terdapat pada kue bingke.</w:t>
      </w:r>
    </w:p>
    <w:p w:rsidR="00C81C7E" w:rsidRPr="00BF7FD9" w:rsidRDefault="008D4320" w:rsidP="00C81C7E">
      <w:pPr>
        <w:tabs>
          <w:tab w:val="left" w:pos="450"/>
        </w:tabs>
        <w:spacing w:line="276" w:lineRule="auto"/>
        <w:jc w:val="both"/>
      </w:pPr>
      <w:r>
        <w:tab/>
        <w:t xml:space="preserve">Berdasarkan </w:t>
      </w:r>
      <w:r w:rsidR="005769FC">
        <w:t>hasil</w:t>
      </w:r>
      <w:r>
        <w:t xml:space="preserve"> analisis statistik ANOVA taraf uji 5% menunjukkan bahwa penggunaan tepung terigu dan ubi ungu pada berbagai konsentrasi berpengaruh nyata terhadap total padatan terlarut kue bingke ubi ungu</w:t>
      </w:r>
      <w:r w:rsidRPr="00161802">
        <w:t>,</w:t>
      </w:r>
      <w:r>
        <w:t xml:space="preserve"> sehingga dilakukan uji lanjut DMRT taraf uji 5%.</w:t>
      </w:r>
      <w:r w:rsidRPr="009C7A10">
        <w:t xml:space="preserve"> </w:t>
      </w:r>
      <w:r>
        <w:t>Rata-rata padatan terlarut kue bingke ubi ungu berkisar antara 15,45% - 18,75% disajikan pada Tabel 1.</w:t>
      </w:r>
    </w:p>
    <w:p w:rsidR="00C81C7E" w:rsidRPr="00C81C7E" w:rsidRDefault="00057011" w:rsidP="00442C56">
      <w:pPr>
        <w:ind w:left="993" w:hanging="993"/>
        <w:jc w:val="both"/>
      </w:pPr>
      <w:r>
        <w:t>Tabel 1</w:t>
      </w:r>
      <w:r w:rsidR="00C81C7E">
        <w:t>. Rata Rata Total Padatan Terlarut Kue Bingke Ubi Ungu</w:t>
      </w:r>
    </w:p>
    <w:tbl>
      <w:tblPr>
        <w:tblW w:w="4362" w:type="dxa"/>
        <w:tblInd w:w="108" w:type="dxa"/>
        <w:tblLook w:val="04A0"/>
      </w:tblPr>
      <w:tblGrid>
        <w:gridCol w:w="2338"/>
        <w:gridCol w:w="2024"/>
      </w:tblGrid>
      <w:tr w:rsidR="00C81C7E" w:rsidRPr="007A6D68" w:rsidTr="00C81C7E">
        <w:trPr>
          <w:trHeight w:val="284"/>
        </w:trPr>
        <w:tc>
          <w:tcPr>
            <w:tcW w:w="2338" w:type="dxa"/>
            <w:tcBorders>
              <w:top w:val="single" w:sz="4" w:space="0" w:color="auto"/>
              <w:left w:val="nil"/>
              <w:bottom w:val="single" w:sz="4" w:space="0" w:color="auto"/>
              <w:right w:val="nil"/>
            </w:tcBorders>
            <w:shd w:val="clear" w:color="auto" w:fill="auto"/>
            <w:noWrap/>
            <w:vAlign w:val="center"/>
            <w:hideMark/>
          </w:tcPr>
          <w:p w:rsidR="00C81C7E" w:rsidRPr="007A6D68" w:rsidRDefault="00C81C7E" w:rsidP="00C81C7E">
            <w:pPr>
              <w:jc w:val="center"/>
              <w:rPr>
                <w:b/>
                <w:color w:val="000000"/>
              </w:rPr>
            </w:pPr>
            <w:r>
              <w:rPr>
                <w:b/>
                <w:color w:val="000000"/>
              </w:rPr>
              <w:t>Ubi Ungu : Tepung Terigu (g)</w:t>
            </w:r>
          </w:p>
        </w:tc>
        <w:tc>
          <w:tcPr>
            <w:tcW w:w="2024" w:type="dxa"/>
            <w:tcBorders>
              <w:top w:val="single" w:sz="4" w:space="0" w:color="auto"/>
              <w:left w:val="nil"/>
              <w:bottom w:val="single" w:sz="4" w:space="0" w:color="auto"/>
              <w:right w:val="nil"/>
            </w:tcBorders>
            <w:shd w:val="clear" w:color="auto" w:fill="auto"/>
            <w:noWrap/>
            <w:vAlign w:val="bottom"/>
            <w:hideMark/>
          </w:tcPr>
          <w:p w:rsidR="00C81C7E" w:rsidRPr="007A6D68" w:rsidRDefault="00C81C7E" w:rsidP="00C81C7E">
            <w:pPr>
              <w:jc w:val="center"/>
              <w:rPr>
                <w:b/>
                <w:color w:val="000000"/>
              </w:rPr>
            </w:pPr>
            <w:r w:rsidRPr="007A6D68">
              <w:rPr>
                <w:b/>
                <w:color w:val="000000"/>
              </w:rPr>
              <w:t>Rata-rata</w:t>
            </w:r>
            <w:r w:rsidRPr="00EB22C7">
              <w:rPr>
                <w:b/>
                <w:color w:val="000000"/>
              </w:rPr>
              <w:t xml:space="preserve"> (ºbrix)</w:t>
            </w:r>
            <w:r>
              <w:rPr>
                <w:b/>
                <w:color w:val="000000"/>
              </w:rPr>
              <w:t xml:space="preserve"> ± SD</w:t>
            </w:r>
          </w:p>
        </w:tc>
      </w:tr>
      <w:tr w:rsidR="00C81C7E" w:rsidRPr="007A6D68" w:rsidTr="00C81C7E">
        <w:trPr>
          <w:trHeight w:val="284"/>
        </w:trPr>
        <w:tc>
          <w:tcPr>
            <w:tcW w:w="2338" w:type="dxa"/>
            <w:tcBorders>
              <w:top w:val="nil"/>
              <w:left w:val="nil"/>
              <w:bottom w:val="nil"/>
              <w:right w:val="nil"/>
            </w:tcBorders>
            <w:shd w:val="clear" w:color="auto" w:fill="auto"/>
            <w:noWrap/>
            <w:hideMark/>
          </w:tcPr>
          <w:p w:rsidR="00C81C7E" w:rsidRDefault="00C81C7E" w:rsidP="00C81C7E">
            <w:pPr>
              <w:jc w:val="center"/>
              <w:rPr>
                <w:color w:val="000000" w:themeColor="text1"/>
              </w:rPr>
            </w:pPr>
            <w:r>
              <w:rPr>
                <w:color w:val="000000" w:themeColor="text1"/>
              </w:rPr>
              <w:t>0 : 50</w:t>
            </w:r>
          </w:p>
        </w:tc>
        <w:tc>
          <w:tcPr>
            <w:tcW w:w="2024" w:type="dxa"/>
            <w:tcBorders>
              <w:top w:val="nil"/>
              <w:left w:val="nil"/>
              <w:bottom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18,75</w:t>
            </w:r>
            <w:r w:rsidR="00214781">
              <w:rPr>
                <w:color w:val="000000"/>
                <w:vertAlign w:val="superscript"/>
              </w:rPr>
              <w:t>d</w:t>
            </w:r>
            <w:r w:rsidRPr="00255F98">
              <w:rPr>
                <w:color w:val="000000"/>
                <w:vertAlign w:val="superscript"/>
              </w:rPr>
              <w:t xml:space="preserve"> </w:t>
            </w:r>
            <w:r w:rsidRPr="00255F98">
              <w:rPr>
                <w:color w:val="000000"/>
              </w:rPr>
              <w:t>± 1,</w:t>
            </w:r>
            <w:r>
              <w:rPr>
                <w:color w:val="000000"/>
              </w:rPr>
              <w:t>11</w:t>
            </w:r>
          </w:p>
        </w:tc>
      </w:tr>
      <w:tr w:rsidR="00C81C7E" w:rsidRPr="007A6D68" w:rsidTr="00C81C7E">
        <w:trPr>
          <w:trHeight w:val="284"/>
        </w:trPr>
        <w:tc>
          <w:tcPr>
            <w:tcW w:w="2338" w:type="dxa"/>
            <w:tcBorders>
              <w:top w:val="nil"/>
              <w:left w:val="nil"/>
              <w:bottom w:val="nil"/>
              <w:right w:val="nil"/>
            </w:tcBorders>
            <w:shd w:val="clear" w:color="auto" w:fill="auto"/>
            <w:noWrap/>
            <w:hideMark/>
          </w:tcPr>
          <w:p w:rsidR="00C81C7E" w:rsidRDefault="00C81C7E" w:rsidP="00C81C7E">
            <w:pPr>
              <w:jc w:val="center"/>
              <w:rPr>
                <w:color w:val="000000" w:themeColor="text1"/>
              </w:rPr>
            </w:pPr>
            <w:r>
              <w:rPr>
                <w:color w:val="000000" w:themeColor="text1"/>
              </w:rPr>
              <w:t>10: 40</w:t>
            </w:r>
          </w:p>
        </w:tc>
        <w:tc>
          <w:tcPr>
            <w:tcW w:w="2024" w:type="dxa"/>
            <w:tcBorders>
              <w:top w:val="nil"/>
              <w:left w:val="nil"/>
              <w:bottom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15,45</w:t>
            </w:r>
            <w:r w:rsidR="00EE4D99">
              <w:rPr>
                <w:color w:val="000000"/>
                <w:vertAlign w:val="superscript"/>
              </w:rPr>
              <w:t>a</w:t>
            </w:r>
            <w:r w:rsidRPr="00255F98">
              <w:rPr>
                <w:color w:val="000000"/>
                <w:vertAlign w:val="superscript"/>
              </w:rPr>
              <w:t xml:space="preserve"> </w:t>
            </w:r>
            <w:r w:rsidRPr="00255F98">
              <w:rPr>
                <w:color w:val="000000"/>
              </w:rPr>
              <w:t>± 0,99</w:t>
            </w:r>
          </w:p>
        </w:tc>
      </w:tr>
      <w:tr w:rsidR="00C81C7E" w:rsidRPr="007A6D68" w:rsidTr="00C81C7E">
        <w:trPr>
          <w:trHeight w:val="284"/>
        </w:trPr>
        <w:tc>
          <w:tcPr>
            <w:tcW w:w="2338" w:type="dxa"/>
            <w:tcBorders>
              <w:top w:val="nil"/>
              <w:left w:val="nil"/>
              <w:bottom w:val="nil"/>
              <w:right w:val="nil"/>
            </w:tcBorders>
            <w:shd w:val="clear" w:color="auto" w:fill="auto"/>
            <w:noWrap/>
            <w:hideMark/>
          </w:tcPr>
          <w:p w:rsidR="00C81C7E" w:rsidRDefault="00C81C7E" w:rsidP="00C81C7E">
            <w:pPr>
              <w:jc w:val="center"/>
              <w:rPr>
                <w:color w:val="000000" w:themeColor="text1"/>
              </w:rPr>
            </w:pPr>
            <w:r>
              <w:rPr>
                <w:color w:val="000000" w:themeColor="text1"/>
              </w:rPr>
              <w:t>20 : 30</w:t>
            </w:r>
          </w:p>
        </w:tc>
        <w:tc>
          <w:tcPr>
            <w:tcW w:w="2024" w:type="dxa"/>
            <w:tcBorders>
              <w:top w:val="nil"/>
              <w:left w:val="nil"/>
              <w:bottom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15,70</w:t>
            </w:r>
            <w:r>
              <w:rPr>
                <w:color w:val="000000"/>
                <w:vertAlign w:val="superscript"/>
              </w:rPr>
              <w:t>a</w:t>
            </w:r>
            <w:r w:rsidR="00EE4D99">
              <w:rPr>
                <w:color w:val="000000"/>
                <w:vertAlign w:val="superscript"/>
              </w:rPr>
              <w:t>b</w:t>
            </w:r>
            <w:r w:rsidRPr="00255F98">
              <w:rPr>
                <w:color w:val="000000"/>
                <w:vertAlign w:val="superscript"/>
              </w:rPr>
              <w:t xml:space="preserve"> </w:t>
            </w:r>
            <w:r w:rsidRPr="00255F98">
              <w:rPr>
                <w:color w:val="000000"/>
              </w:rPr>
              <w:t>± 0,96</w:t>
            </w:r>
          </w:p>
        </w:tc>
      </w:tr>
      <w:tr w:rsidR="00C81C7E" w:rsidRPr="007A6D68" w:rsidTr="00C81C7E">
        <w:trPr>
          <w:trHeight w:val="284"/>
        </w:trPr>
        <w:tc>
          <w:tcPr>
            <w:tcW w:w="2338" w:type="dxa"/>
            <w:tcBorders>
              <w:top w:val="nil"/>
              <w:left w:val="nil"/>
              <w:bottom w:val="nil"/>
              <w:right w:val="nil"/>
            </w:tcBorders>
            <w:shd w:val="clear" w:color="auto" w:fill="auto"/>
            <w:noWrap/>
            <w:hideMark/>
          </w:tcPr>
          <w:p w:rsidR="00C81C7E" w:rsidRDefault="00C81C7E" w:rsidP="00C81C7E">
            <w:pPr>
              <w:jc w:val="center"/>
              <w:rPr>
                <w:color w:val="000000" w:themeColor="text1"/>
              </w:rPr>
            </w:pPr>
            <w:r>
              <w:rPr>
                <w:color w:val="000000" w:themeColor="text1"/>
              </w:rPr>
              <w:t>30 : 20</w:t>
            </w:r>
          </w:p>
        </w:tc>
        <w:tc>
          <w:tcPr>
            <w:tcW w:w="2024" w:type="dxa"/>
            <w:tcBorders>
              <w:top w:val="nil"/>
              <w:left w:val="nil"/>
              <w:bottom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16,23</w:t>
            </w:r>
            <w:r w:rsidR="00EE4D99">
              <w:rPr>
                <w:color w:val="000000"/>
                <w:vertAlign w:val="superscript"/>
              </w:rPr>
              <w:t>bc</w:t>
            </w:r>
            <w:r w:rsidRPr="00255F98">
              <w:rPr>
                <w:color w:val="000000"/>
              </w:rPr>
              <w:t>± 1,37</w:t>
            </w:r>
          </w:p>
        </w:tc>
      </w:tr>
      <w:tr w:rsidR="00C81C7E" w:rsidRPr="007A6D68" w:rsidTr="008C3C9B">
        <w:trPr>
          <w:trHeight w:val="284"/>
        </w:trPr>
        <w:tc>
          <w:tcPr>
            <w:tcW w:w="2338" w:type="dxa"/>
            <w:tcBorders>
              <w:top w:val="nil"/>
              <w:left w:val="nil"/>
              <w:right w:val="nil"/>
            </w:tcBorders>
            <w:shd w:val="clear" w:color="auto" w:fill="auto"/>
            <w:noWrap/>
            <w:hideMark/>
          </w:tcPr>
          <w:p w:rsidR="00C81C7E" w:rsidRDefault="00C81C7E" w:rsidP="00C81C7E">
            <w:pPr>
              <w:jc w:val="center"/>
              <w:rPr>
                <w:color w:val="000000" w:themeColor="text1"/>
              </w:rPr>
            </w:pPr>
            <w:r>
              <w:rPr>
                <w:color w:val="000000" w:themeColor="text1"/>
              </w:rPr>
              <w:t>40 : 10</w:t>
            </w:r>
          </w:p>
        </w:tc>
        <w:tc>
          <w:tcPr>
            <w:tcW w:w="2024" w:type="dxa"/>
            <w:tcBorders>
              <w:top w:val="nil"/>
              <w:left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17,08</w:t>
            </w:r>
            <w:r>
              <w:rPr>
                <w:color w:val="000000"/>
                <w:vertAlign w:val="superscript"/>
              </w:rPr>
              <w:t>c</w:t>
            </w:r>
            <w:r w:rsidRPr="00255F98">
              <w:rPr>
                <w:color w:val="000000"/>
                <w:vertAlign w:val="superscript"/>
              </w:rPr>
              <w:t xml:space="preserve"> </w:t>
            </w:r>
            <w:r w:rsidRPr="00255F98">
              <w:rPr>
                <w:color w:val="000000"/>
              </w:rPr>
              <w:t>± 1,84</w:t>
            </w:r>
          </w:p>
        </w:tc>
      </w:tr>
      <w:tr w:rsidR="00C81C7E" w:rsidRPr="007A6D68" w:rsidTr="008C3C9B">
        <w:trPr>
          <w:trHeight w:val="284"/>
        </w:trPr>
        <w:tc>
          <w:tcPr>
            <w:tcW w:w="2338" w:type="dxa"/>
            <w:tcBorders>
              <w:top w:val="nil"/>
              <w:left w:val="nil"/>
              <w:right w:val="nil"/>
            </w:tcBorders>
            <w:shd w:val="clear" w:color="auto" w:fill="auto"/>
            <w:noWrap/>
            <w:hideMark/>
          </w:tcPr>
          <w:p w:rsidR="00C81C7E" w:rsidRPr="0023738A" w:rsidRDefault="00C81C7E" w:rsidP="00C81C7E">
            <w:pPr>
              <w:jc w:val="center"/>
              <w:rPr>
                <w:color w:val="000000" w:themeColor="text1"/>
              </w:rPr>
            </w:pPr>
            <w:r>
              <w:rPr>
                <w:color w:val="000000" w:themeColor="text1"/>
              </w:rPr>
              <w:t>50 : 0</w:t>
            </w:r>
          </w:p>
        </w:tc>
        <w:tc>
          <w:tcPr>
            <w:tcW w:w="2024" w:type="dxa"/>
            <w:tcBorders>
              <w:top w:val="nil"/>
              <w:left w:val="nil"/>
              <w:right w:val="nil"/>
            </w:tcBorders>
            <w:shd w:val="clear" w:color="auto" w:fill="auto"/>
            <w:noWrap/>
            <w:vAlign w:val="bottom"/>
            <w:hideMark/>
          </w:tcPr>
          <w:p w:rsidR="00C81C7E" w:rsidRPr="00255F98" w:rsidRDefault="00C81C7E" w:rsidP="00C81C7E">
            <w:pPr>
              <w:jc w:val="center"/>
              <w:rPr>
                <w:color w:val="000000"/>
              </w:rPr>
            </w:pPr>
            <w:r w:rsidRPr="00255F98">
              <w:rPr>
                <w:color w:val="000000"/>
              </w:rPr>
              <w:t>18,18</w:t>
            </w:r>
            <w:r w:rsidR="00214781">
              <w:rPr>
                <w:color w:val="000000"/>
                <w:vertAlign w:val="superscript"/>
              </w:rPr>
              <w:t>d</w:t>
            </w:r>
            <w:r w:rsidRPr="00255F98">
              <w:rPr>
                <w:color w:val="000000"/>
                <w:vertAlign w:val="superscript"/>
              </w:rPr>
              <w:t xml:space="preserve"> </w:t>
            </w:r>
            <w:r w:rsidRPr="00255F98">
              <w:rPr>
                <w:color w:val="000000"/>
              </w:rPr>
              <w:t>± 1,56</w:t>
            </w:r>
          </w:p>
        </w:tc>
      </w:tr>
      <w:tr w:rsidR="00C81C7E" w:rsidRPr="007A6D68" w:rsidTr="008C3C9B">
        <w:trPr>
          <w:trHeight w:val="70"/>
        </w:trPr>
        <w:tc>
          <w:tcPr>
            <w:tcW w:w="2338" w:type="dxa"/>
            <w:tcBorders>
              <w:left w:val="nil"/>
              <w:bottom w:val="single" w:sz="4" w:space="0" w:color="auto"/>
              <w:right w:val="nil"/>
            </w:tcBorders>
            <w:shd w:val="clear" w:color="auto" w:fill="auto"/>
            <w:noWrap/>
            <w:hideMark/>
          </w:tcPr>
          <w:p w:rsidR="00C81C7E" w:rsidRDefault="00C81C7E" w:rsidP="00EC04C7">
            <w:pPr>
              <w:rPr>
                <w:color w:val="000000" w:themeColor="text1"/>
              </w:rPr>
            </w:pPr>
          </w:p>
        </w:tc>
        <w:tc>
          <w:tcPr>
            <w:tcW w:w="2024" w:type="dxa"/>
            <w:tcBorders>
              <w:left w:val="nil"/>
              <w:bottom w:val="single" w:sz="4" w:space="0" w:color="auto"/>
              <w:right w:val="nil"/>
            </w:tcBorders>
            <w:shd w:val="clear" w:color="auto" w:fill="auto"/>
            <w:noWrap/>
            <w:vAlign w:val="bottom"/>
            <w:hideMark/>
          </w:tcPr>
          <w:p w:rsidR="00C81C7E" w:rsidRPr="00255F98" w:rsidRDefault="00C81C7E" w:rsidP="00C81C7E">
            <w:pPr>
              <w:jc w:val="center"/>
              <w:rPr>
                <w:color w:val="000000"/>
              </w:rPr>
            </w:pPr>
          </w:p>
        </w:tc>
      </w:tr>
    </w:tbl>
    <w:p w:rsidR="005435D4" w:rsidRPr="005435D4" w:rsidRDefault="005435D4" w:rsidP="005435D4">
      <w:pPr>
        <w:jc w:val="both"/>
        <w:rPr>
          <w:sz w:val="18"/>
          <w:szCs w:val="18"/>
        </w:rPr>
      </w:pPr>
      <w:r w:rsidRPr="005435D4">
        <w:rPr>
          <w:sz w:val="18"/>
          <w:szCs w:val="18"/>
        </w:rPr>
        <w:t xml:space="preserve">Ket; Angka yang diikuti dengan huruf yang </w:t>
      </w:r>
      <w:r w:rsidR="00E72DF7">
        <w:rPr>
          <w:sz w:val="18"/>
          <w:szCs w:val="18"/>
        </w:rPr>
        <w:t>sama menunjukan berbeda</w:t>
      </w:r>
      <w:r w:rsidRPr="005435D4">
        <w:rPr>
          <w:sz w:val="18"/>
          <w:szCs w:val="18"/>
        </w:rPr>
        <w:t xml:space="preserve"> nyata pada DMRT 5% </w:t>
      </w:r>
      <w:r>
        <w:rPr>
          <w:sz w:val="18"/>
          <w:szCs w:val="18"/>
        </w:rPr>
        <w:t>.</w:t>
      </w:r>
    </w:p>
    <w:p w:rsidR="0031592F" w:rsidRDefault="00BE5CCE" w:rsidP="00BE5CCE">
      <w:pPr>
        <w:spacing w:line="276" w:lineRule="auto"/>
        <w:ind w:firstLine="720"/>
        <w:jc w:val="both"/>
      </w:pPr>
      <w:r w:rsidRPr="00955309">
        <w:lastRenderedPageBreak/>
        <w:t>Tabel</w:t>
      </w:r>
      <w:r w:rsidR="001C00A9">
        <w:t xml:space="preserve"> 1</w:t>
      </w:r>
      <w:r w:rsidRPr="00955309">
        <w:t xml:space="preserve">  menunjukkan  bahwa perlakuan </w:t>
      </w:r>
      <w:r>
        <w:t xml:space="preserve">0g ubi ungu : </w:t>
      </w:r>
      <w:r w:rsidRPr="00955309">
        <w:t>5</w:t>
      </w:r>
      <w:r>
        <w:t>0g</w:t>
      </w:r>
      <w:r w:rsidRPr="00955309">
        <w:t xml:space="preserve"> tepung terigu berbeda nyata pada perlakuan  1</w:t>
      </w:r>
      <w:r>
        <w:t>0g ubi ungu :</w:t>
      </w:r>
      <w:r w:rsidRPr="00955309">
        <w:t xml:space="preserve"> 4</w:t>
      </w:r>
      <w:r>
        <w:t xml:space="preserve">0g </w:t>
      </w:r>
      <w:r w:rsidRPr="00955309">
        <w:t>tepung terigu, perlakuan 2</w:t>
      </w:r>
      <w:r>
        <w:t>0g</w:t>
      </w:r>
      <w:r w:rsidRPr="00955309">
        <w:t xml:space="preserve"> </w:t>
      </w:r>
      <w:r>
        <w:t>ubi ungu :</w:t>
      </w:r>
      <w:r w:rsidRPr="00955309">
        <w:t xml:space="preserve"> 3</w:t>
      </w:r>
      <w:r>
        <w:t xml:space="preserve">0g </w:t>
      </w:r>
      <w:r w:rsidRPr="00955309">
        <w:t>tepung terigu, dan perlakuan 3</w:t>
      </w:r>
      <w:r>
        <w:t>0g ubi ungu :</w:t>
      </w:r>
      <w:r w:rsidRPr="00955309">
        <w:t xml:space="preserve"> 2</w:t>
      </w:r>
      <w:r>
        <w:t xml:space="preserve">0g </w:t>
      </w:r>
      <w:r w:rsidRPr="00955309">
        <w:t>tepung terigu</w:t>
      </w:r>
      <w:r>
        <w:t xml:space="preserve">, tetapi tidak berbeda nyata terhadap perlakuan 40g ubi ungu : 10g </w:t>
      </w:r>
      <w:r w:rsidRPr="00955309">
        <w:t>tepung terigu</w:t>
      </w:r>
      <w:r>
        <w:t xml:space="preserve"> dan perlakuan 50g ubi ungu : 0g </w:t>
      </w:r>
      <w:r w:rsidRPr="00955309">
        <w:t>tepung terigu</w:t>
      </w:r>
      <w:r>
        <w:t xml:space="preserve">. </w:t>
      </w:r>
    </w:p>
    <w:p w:rsidR="0031592F" w:rsidRDefault="00BE5CCE" w:rsidP="00BE5CCE">
      <w:pPr>
        <w:spacing w:line="276" w:lineRule="auto"/>
        <w:ind w:firstLine="720"/>
        <w:jc w:val="both"/>
      </w:pPr>
      <w:r>
        <w:t xml:space="preserve">Perlakuan 10g ubi ungu dengan 40g </w:t>
      </w:r>
      <w:r w:rsidRPr="00955309">
        <w:t>tepung terigu</w:t>
      </w:r>
      <w:r>
        <w:t xml:space="preserve"> dan perlakuan 20g ubi ungu : 30g </w:t>
      </w:r>
      <w:r w:rsidRPr="00955309">
        <w:t>tepung terigu</w:t>
      </w:r>
      <w:r>
        <w:t xml:space="preserve"> berbeda nyata dengan perlakuan 0g ubi ungu : 50g </w:t>
      </w:r>
      <w:r w:rsidRPr="00955309">
        <w:t>tepung terigu</w:t>
      </w:r>
      <w:r>
        <w:t xml:space="preserve">, tetapi tidak berbeda nyata dengan perlakuan 30g ubi ungu : 20g </w:t>
      </w:r>
      <w:r w:rsidRPr="00955309">
        <w:t>tepung terigu</w:t>
      </w:r>
      <w:r>
        <w:t xml:space="preserve"> dan perlakuan 40g ubi ungu : 10g </w:t>
      </w:r>
      <w:r w:rsidRPr="00955309">
        <w:t>tepung terigu</w:t>
      </w:r>
      <w:r>
        <w:t xml:space="preserve">. Perlakuan 20g ubi ungu : 30g </w:t>
      </w:r>
      <w:r w:rsidRPr="00955309">
        <w:t>tepung terigu</w:t>
      </w:r>
      <w:r>
        <w:t xml:space="preserve"> tidak berbeda nyata dengan perlakuan 10g ubi ungu : 40g </w:t>
      </w:r>
      <w:r w:rsidRPr="00955309">
        <w:t>tepung terigu</w:t>
      </w:r>
      <w:r>
        <w:t xml:space="preserve">, perlakuan 30g ubi ungu : 20g </w:t>
      </w:r>
      <w:r w:rsidRPr="00955309">
        <w:t>tepung terigu</w:t>
      </w:r>
      <w:r>
        <w:t xml:space="preserve">, dan perlakuan 40g ubi ungu : 10g </w:t>
      </w:r>
      <w:r w:rsidRPr="00955309">
        <w:t>tepung terigu</w:t>
      </w:r>
      <w:r>
        <w:t xml:space="preserve">, tetapi berbeda nyata dengan perlakuan 0g ubi ungu : 50g </w:t>
      </w:r>
      <w:r w:rsidRPr="00955309">
        <w:t>tepung terigu</w:t>
      </w:r>
      <w:r>
        <w:t xml:space="preserve">, dan perlakuan 50g ubi ungu : 0g </w:t>
      </w:r>
      <w:r w:rsidRPr="00955309">
        <w:t>tepung terigu</w:t>
      </w:r>
      <w:r>
        <w:t xml:space="preserve">. </w:t>
      </w:r>
    </w:p>
    <w:p w:rsidR="0031592F" w:rsidRDefault="00BE5CCE" w:rsidP="00BE5CCE">
      <w:pPr>
        <w:spacing w:line="276" w:lineRule="auto"/>
        <w:ind w:firstLine="720"/>
        <w:jc w:val="both"/>
      </w:pPr>
      <w:r>
        <w:t xml:space="preserve">Perlakuan 30g ubi ungu : 20g </w:t>
      </w:r>
      <w:r w:rsidRPr="00955309">
        <w:t>tepung terigu</w:t>
      </w:r>
      <w:r>
        <w:t xml:space="preserve"> berbeda nyata dengan perlakuan 0g ubi ungu : 50g </w:t>
      </w:r>
      <w:r w:rsidRPr="00955309">
        <w:t>tepung terigu</w:t>
      </w:r>
      <w:r>
        <w:t xml:space="preserve">, tetapi tidak berbeda nyata dengan perlakuan lainnya. Perlakuan 50g ubi ungu : 10g </w:t>
      </w:r>
      <w:r w:rsidRPr="00955309">
        <w:t>tepung terigu</w:t>
      </w:r>
      <w:r>
        <w:t xml:space="preserve"> berbeda nyata dengan perlakuan 10g ubi ungu : 40g </w:t>
      </w:r>
      <w:r w:rsidRPr="00955309">
        <w:t>tepung terigu</w:t>
      </w:r>
      <w:r>
        <w:t xml:space="preserve"> dan perlakuan 20g ubi ungu : 30g </w:t>
      </w:r>
      <w:r w:rsidRPr="00955309">
        <w:t>tepung terigu</w:t>
      </w:r>
      <w:r>
        <w:t xml:space="preserve">. </w:t>
      </w:r>
    </w:p>
    <w:p w:rsidR="00A83004" w:rsidRDefault="00BE5CCE" w:rsidP="00BE5CCE">
      <w:pPr>
        <w:spacing w:after="240" w:line="276" w:lineRule="auto"/>
        <w:ind w:firstLine="720"/>
        <w:jc w:val="both"/>
      </w:pPr>
      <w:r>
        <w:t xml:space="preserve">Total  padatan  terlarut  kue bingke ubi </w:t>
      </w:r>
      <w:r w:rsidRPr="00367BFF">
        <w:t>ungu berbeda</w:t>
      </w:r>
      <w:r>
        <w:t xml:space="preserve"> nyata</w:t>
      </w:r>
      <w:r w:rsidRPr="00367BFF">
        <w:t>.</w:t>
      </w:r>
      <w:r>
        <w:t xml:space="preserve"> Total padatan terlarut kue bingke tertinggi pada perlakuan 0g ubi ungu : 50g </w:t>
      </w:r>
      <w:r w:rsidRPr="00955309">
        <w:t>tepung terigu</w:t>
      </w:r>
      <w:r>
        <w:t xml:space="preserve"> tepung terigu yaitu sebesar 18,75</w:t>
      </w:r>
      <w:r w:rsidRPr="00A47E00">
        <w:rPr>
          <w:vertAlign w:val="superscript"/>
        </w:rPr>
        <w:t>0</w:t>
      </w:r>
      <w:r>
        <w:t>brix</w:t>
      </w:r>
      <w:r w:rsidRPr="00A47E00">
        <w:rPr>
          <w:vertAlign w:val="superscript"/>
        </w:rPr>
        <w:t xml:space="preserve"> </w:t>
      </w:r>
      <w:r>
        <w:t>sedangkan yang terendah pada perlakuan 10g ubi ungu : 40g tepung terigu yaitu sebesar 15,45</w:t>
      </w:r>
      <w:r w:rsidRPr="00A47E00">
        <w:rPr>
          <w:vertAlign w:val="superscript"/>
        </w:rPr>
        <w:t>0</w:t>
      </w:r>
      <w:r>
        <w:t xml:space="preserve">brix. </w:t>
      </w:r>
      <w:r w:rsidRPr="004005CC">
        <w:t>Hasil analisis total padatan terlarut (TPT) pada ubi ungu kukus sebelum diolah sebesar 10,5</w:t>
      </w:r>
      <w:r w:rsidRPr="004005CC">
        <w:rPr>
          <w:vertAlign w:val="superscript"/>
        </w:rPr>
        <w:t>0</w:t>
      </w:r>
      <w:r w:rsidRPr="004005CC">
        <w:t xml:space="preserve">brix, sedangkan </w:t>
      </w:r>
      <w:r>
        <w:t xml:space="preserve">tepung terigu </w:t>
      </w:r>
      <w:r w:rsidRPr="004005CC">
        <w:t>yaitu sebesar 10,3</w:t>
      </w:r>
      <w:r w:rsidRPr="004005CC">
        <w:rPr>
          <w:vertAlign w:val="superscript"/>
        </w:rPr>
        <w:t>0</w:t>
      </w:r>
      <w:r>
        <w:t>brix</w:t>
      </w:r>
      <w:r w:rsidRPr="004005CC">
        <w:t xml:space="preserve">. Kenaikan total padatan </w:t>
      </w:r>
      <w:r w:rsidRPr="004005CC">
        <w:lastRenderedPageBreak/>
        <w:t xml:space="preserve">terlarut </w:t>
      </w:r>
      <w:r w:rsidR="0023417B">
        <w:t>pada kue bingke yang dihasilkan diduga</w:t>
      </w:r>
      <w:r w:rsidRPr="004005CC">
        <w:t xml:space="preserve">  disebabkan adanya   senyawa-senyawa  sederhana seperti  karbohidr</w:t>
      </w:r>
      <w:r>
        <w:t>at  dan  protein yang terdapat pad</w:t>
      </w:r>
      <w:r w:rsidR="0015411F">
        <w:t>a bahan yang ditambahkan pada p</w:t>
      </w:r>
      <w:r>
        <w:t>roses pembuatan kue bingke</w:t>
      </w:r>
      <w:r w:rsidRPr="004005CC">
        <w:t>. Hal ini sejalan dengan pendapat Ismawan (2003) yang menyatakan bahwa peningkatan total padatan terlarut disebabkan karena komponen-komponen kompleks seperti karbohidrat dan protein terurai menjadi persenyawaan yang lebih sederhana  sehingga terjadi kenaikan total padatan terlarut.</w:t>
      </w:r>
      <w:r>
        <w:t xml:space="preserve"> </w:t>
      </w:r>
    </w:p>
    <w:p w:rsidR="00C81C7E" w:rsidRPr="00080533" w:rsidRDefault="00C81C7E" w:rsidP="00A83004">
      <w:pPr>
        <w:spacing w:line="276" w:lineRule="auto"/>
        <w:jc w:val="both"/>
        <w:rPr>
          <w:b/>
        </w:rPr>
      </w:pPr>
      <w:r w:rsidRPr="00080533">
        <w:rPr>
          <w:b/>
        </w:rPr>
        <w:t>Analisis Kadar Air</w:t>
      </w:r>
    </w:p>
    <w:p w:rsidR="0054797E" w:rsidRDefault="0054797E" w:rsidP="0054797E">
      <w:pPr>
        <w:autoSpaceDE w:val="0"/>
        <w:autoSpaceDN w:val="0"/>
        <w:adjustRightInd w:val="0"/>
        <w:spacing w:line="276" w:lineRule="auto"/>
        <w:ind w:firstLine="720"/>
        <w:jc w:val="both"/>
      </w:pPr>
      <w:r w:rsidRPr="005925DD">
        <w:t xml:space="preserve">Analisis kadar air bertujuan untuk mengetahui banyaknya air yang terdapat pada </w:t>
      </w:r>
      <w:r>
        <w:t>kue bingke</w:t>
      </w:r>
      <w:r w:rsidRPr="005925DD">
        <w:rPr>
          <w:i/>
        </w:rPr>
        <w:t xml:space="preserve"> </w:t>
      </w:r>
      <w:bookmarkStart w:id="9" w:name="_Hlk508056991"/>
      <w:r>
        <w:t xml:space="preserve">(Winarno, </w:t>
      </w:r>
      <w:r w:rsidRPr="00A045ED">
        <w:t>2002),</w:t>
      </w:r>
      <w:r>
        <w:t xml:space="preserve"> </w:t>
      </w:r>
      <w:r w:rsidRPr="005925DD">
        <w:t>kandungan air dalam bahan makanan mempengaruhi daya tahan bahan makanan</w:t>
      </w:r>
      <w:bookmarkEnd w:id="9"/>
      <w:r>
        <w:t xml:space="preserve"> dan dapat mempengaruhi penampakan, tekstur serta cita rasa dari makanan </w:t>
      </w:r>
      <w:r w:rsidRPr="00A045ED">
        <w:t>tersebut (Winarno, 1992).</w:t>
      </w:r>
    </w:p>
    <w:p w:rsidR="0054797E" w:rsidRDefault="0054797E" w:rsidP="0054797E">
      <w:pPr>
        <w:spacing w:line="276" w:lineRule="auto"/>
        <w:ind w:firstLine="567"/>
        <w:jc w:val="both"/>
      </w:pPr>
      <w:r>
        <w:t>Berdasarkan hasil analisis statistik ANOVA taraf uji 5% menunjukkan bahwa penggunaan tepung terigu dan ubi ungu pada berbagai konsentrasi berpengaruh tidak nyata terhadap analisis kadar air kue bingke ubi ungu</w:t>
      </w:r>
      <w:r w:rsidRPr="00161802">
        <w:t>,</w:t>
      </w:r>
      <w:r>
        <w:t xml:space="preserve"> sehingga tidak dilakukan uji lanjut DMRT taraf uji 5%.</w:t>
      </w:r>
      <w:r w:rsidRPr="009C7A10">
        <w:t xml:space="preserve"> </w:t>
      </w:r>
      <w:r>
        <w:t>Rata-rata kadar air kue bingke ubi ungu berkisar antara 51,60% - 46,91% disajikan pada Tabel 2.</w:t>
      </w:r>
    </w:p>
    <w:p w:rsidR="00C81C7E" w:rsidRDefault="00617803" w:rsidP="00C81C7E">
      <w:pPr>
        <w:spacing w:line="276" w:lineRule="auto"/>
        <w:jc w:val="both"/>
      </w:pPr>
      <w:r>
        <w:t>Tabel 2</w:t>
      </w:r>
      <w:r w:rsidR="00C81C7E">
        <w:t>. Rata-Rata Kadar Air Kue Bingke Ubi Ungu</w:t>
      </w:r>
    </w:p>
    <w:tbl>
      <w:tblPr>
        <w:tblW w:w="4503" w:type="dxa"/>
        <w:tblLook w:val="04A0"/>
      </w:tblPr>
      <w:tblGrid>
        <w:gridCol w:w="2376"/>
        <w:gridCol w:w="2127"/>
      </w:tblGrid>
      <w:tr w:rsidR="00C81C7E" w:rsidRPr="007A6D68" w:rsidTr="00057011">
        <w:trPr>
          <w:trHeight w:val="270"/>
        </w:trPr>
        <w:tc>
          <w:tcPr>
            <w:tcW w:w="2376" w:type="dxa"/>
            <w:tcBorders>
              <w:top w:val="single" w:sz="4" w:space="0" w:color="auto"/>
              <w:left w:val="nil"/>
              <w:bottom w:val="single" w:sz="4" w:space="0" w:color="auto"/>
              <w:right w:val="nil"/>
            </w:tcBorders>
            <w:shd w:val="clear" w:color="auto" w:fill="auto"/>
            <w:noWrap/>
            <w:vAlign w:val="center"/>
            <w:hideMark/>
          </w:tcPr>
          <w:p w:rsidR="00C81C7E" w:rsidRPr="007A6D68" w:rsidRDefault="00C81C7E" w:rsidP="00057011">
            <w:pPr>
              <w:jc w:val="center"/>
              <w:rPr>
                <w:b/>
                <w:color w:val="000000"/>
              </w:rPr>
            </w:pPr>
            <w:r>
              <w:rPr>
                <w:b/>
                <w:color w:val="000000"/>
              </w:rPr>
              <w:t>Ubi Ungu : Tepung Terigu (g)</w:t>
            </w:r>
          </w:p>
        </w:tc>
        <w:tc>
          <w:tcPr>
            <w:tcW w:w="2127" w:type="dxa"/>
            <w:tcBorders>
              <w:top w:val="single" w:sz="4" w:space="0" w:color="auto"/>
              <w:left w:val="nil"/>
              <w:bottom w:val="single" w:sz="4" w:space="0" w:color="auto"/>
              <w:right w:val="nil"/>
            </w:tcBorders>
            <w:shd w:val="clear" w:color="auto" w:fill="auto"/>
            <w:noWrap/>
            <w:vAlign w:val="bottom"/>
            <w:hideMark/>
          </w:tcPr>
          <w:p w:rsidR="00C81C7E" w:rsidRPr="007A6D68" w:rsidRDefault="00C81C7E" w:rsidP="00057011">
            <w:pPr>
              <w:jc w:val="center"/>
              <w:rPr>
                <w:b/>
                <w:color w:val="000000"/>
              </w:rPr>
            </w:pPr>
            <w:r w:rsidRPr="007A6D68">
              <w:rPr>
                <w:b/>
                <w:color w:val="000000"/>
              </w:rPr>
              <w:t>Rata-rata</w:t>
            </w:r>
            <w:r w:rsidRPr="00EB22C7">
              <w:rPr>
                <w:b/>
                <w:color w:val="000000"/>
              </w:rPr>
              <w:t xml:space="preserve"> (</w:t>
            </w:r>
            <w:r>
              <w:rPr>
                <w:b/>
                <w:color w:val="000000"/>
              </w:rPr>
              <w:t>%</w:t>
            </w:r>
            <w:r w:rsidRPr="00EB22C7">
              <w:rPr>
                <w:b/>
                <w:color w:val="000000"/>
              </w:rPr>
              <w:t>)</w:t>
            </w:r>
            <w:r>
              <w:rPr>
                <w:b/>
                <w:color w:val="000000"/>
              </w:rPr>
              <w:t xml:space="preserve"> ± SD</w:t>
            </w:r>
          </w:p>
        </w:tc>
      </w:tr>
      <w:tr w:rsidR="00C81C7E" w:rsidRPr="00255F98" w:rsidTr="00057011">
        <w:trPr>
          <w:trHeight w:val="270"/>
        </w:trPr>
        <w:tc>
          <w:tcPr>
            <w:tcW w:w="2376"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0 : 50</w:t>
            </w:r>
          </w:p>
        </w:tc>
        <w:tc>
          <w:tcPr>
            <w:tcW w:w="2127" w:type="dxa"/>
            <w:tcBorders>
              <w:top w:val="nil"/>
              <w:left w:val="nil"/>
              <w:bottom w:val="nil"/>
              <w:right w:val="nil"/>
            </w:tcBorders>
            <w:shd w:val="clear" w:color="auto" w:fill="auto"/>
            <w:noWrap/>
            <w:vAlign w:val="bottom"/>
            <w:hideMark/>
          </w:tcPr>
          <w:p w:rsidR="00C81C7E" w:rsidRPr="00B5227A" w:rsidRDefault="002B051A" w:rsidP="00057011">
            <w:pPr>
              <w:jc w:val="center"/>
              <w:rPr>
                <w:color w:val="000000"/>
                <w:vertAlign w:val="superscript"/>
              </w:rPr>
            </w:pPr>
            <w:r>
              <w:rPr>
                <w:color w:val="000000"/>
              </w:rPr>
              <w:t>50,</w:t>
            </w:r>
            <w:r w:rsidR="00C81C7E" w:rsidRPr="00F210D3">
              <w:rPr>
                <w:color w:val="000000"/>
              </w:rPr>
              <w:t>07</w:t>
            </w:r>
            <w:r w:rsidR="00C81C7E">
              <w:rPr>
                <w:b/>
                <w:color w:val="000000"/>
              </w:rPr>
              <w:t>±</w:t>
            </w:r>
            <w:r>
              <w:rPr>
                <w:color w:val="000000"/>
              </w:rPr>
              <w:t>9,</w:t>
            </w:r>
            <w:r w:rsidR="00C81C7E">
              <w:rPr>
                <w:color w:val="000000"/>
              </w:rPr>
              <w:t>75</w:t>
            </w:r>
          </w:p>
        </w:tc>
      </w:tr>
      <w:tr w:rsidR="00C81C7E" w:rsidRPr="00255F98" w:rsidTr="00057011">
        <w:trPr>
          <w:trHeight w:val="270"/>
        </w:trPr>
        <w:tc>
          <w:tcPr>
            <w:tcW w:w="2376"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10: 40</w:t>
            </w:r>
          </w:p>
        </w:tc>
        <w:tc>
          <w:tcPr>
            <w:tcW w:w="2127" w:type="dxa"/>
            <w:tcBorders>
              <w:top w:val="nil"/>
              <w:left w:val="nil"/>
              <w:bottom w:val="nil"/>
              <w:right w:val="nil"/>
            </w:tcBorders>
            <w:shd w:val="clear" w:color="auto" w:fill="auto"/>
            <w:noWrap/>
            <w:vAlign w:val="bottom"/>
            <w:hideMark/>
          </w:tcPr>
          <w:p w:rsidR="00C81C7E" w:rsidRPr="00F210D3" w:rsidRDefault="002B051A" w:rsidP="00057011">
            <w:pPr>
              <w:jc w:val="center"/>
              <w:rPr>
                <w:color w:val="000000"/>
              </w:rPr>
            </w:pPr>
            <w:r>
              <w:rPr>
                <w:color w:val="000000"/>
              </w:rPr>
              <w:t>48,</w:t>
            </w:r>
            <w:r w:rsidR="00C81C7E" w:rsidRPr="00F210D3">
              <w:rPr>
                <w:color w:val="000000"/>
              </w:rPr>
              <w:t>15</w:t>
            </w:r>
            <w:r w:rsidR="00C81C7E">
              <w:rPr>
                <w:b/>
                <w:color w:val="000000"/>
              </w:rPr>
              <w:t>±</w:t>
            </w:r>
            <w:r>
              <w:rPr>
                <w:color w:val="000000"/>
              </w:rPr>
              <w:t>5,</w:t>
            </w:r>
            <w:r w:rsidR="00C81C7E">
              <w:rPr>
                <w:color w:val="000000"/>
              </w:rPr>
              <w:t>13</w:t>
            </w:r>
          </w:p>
        </w:tc>
      </w:tr>
      <w:tr w:rsidR="00C81C7E" w:rsidRPr="00255F98" w:rsidTr="00057011">
        <w:trPr>
          <w:trHeight w:val="270"/>
        </w:trPr>
        <w:tc>
          <w:tcPr>
            <w:tcW w:w="2376"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20 : 30</w:t>
            </w:r>
          </w:p>
        </w:tc>
        <w:tc>
          <w:tcPr>
            <w:tcW w:w="2127" w:type="dxa"/>
            <w:tcBorders>
              <w:top w:val="nil"/>
              <w:left w:val="nil"/>
              <w:bottom w:val="nil"/>
              <w:right w:val="nil"/>
            </w:tcBorders>
            <w:shd w:val="clear" w:color="auto" w:fill="auto"/>
            <w:noWrap/>
            <w:vAlign w:val="bottom"/>
            <w:hideMark/>
          </w:tcPr>
          <w:p w:rsidR="00C81C7E" w:rsidRPr="00F210D3" w:rsidRDefault="002B051A" w:rsidP="00057011">
            <w:pPr>
              <w:jc w:val="center"/>
              <w:rPr>
                <w:color w:val="000000"/>
              </w:rPr>
            </w:pPr>
            <w:r>
              <w:rPr>
                <w:color w:val="000000"/>
              </w:rPr>
              <w:t>48,</w:t>
            </w:r>
            <w:r w:rsidR="00C81C7E" w:rsidRPr="00F210D3">
              <w:rPr>
                <w:color w:val="000000"/>
              </w:rPr>
              <w:t>31</w:t>
            </w:r>
            <w:r w:rsidR="00C81C7E">
              <w:rPr>
                <w:b/>
                <w:color w:val="000000"/>
              </w:rPr>
              <w:t>±</w:t>
            </w:r>
            <w:r>
              <w:rPr>
                <w:color w:val="000000"/>
              </w:rPr>
              <w:t>2,</w:t>
            </w:r>
            <w:r w:rsidR="00C81C7E" w:rsidRPr="00F210D3">
              <w:rPr>
                <w:color w:val="000000"/>
              </w:rPr>
              <w:t>60</w:t>
            </w:r>
          </w:p>
        </w:tc>
      </w:tr>
      <w:tr w:rsidR="00C81C7E" w:rsidRPr="00255F98" w:rsidTr="00057011">
        <w:trPr>
          <w:trHeight w:val="270"/>
        </w:trPr>
        <w:tc>
          <w:tcPr>
            <w:tcW w:w="2376"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30 : 20</w:t>
            </w:r>
          </w:p>
        </w:tc>
        <w:tc>
          <w:tcPr>
            <w:tcW w:w="2127" w:type="dxa"/>
            <w:tcBorders>
              <w:top w:val="nil"/>
              <w:left w:val="nil"/>
              <w:bottom w:val="nil"/>
              <w:right w:val="nil"/>
            </w:tcBorders>
            <w:shd w:val="clear" w:color="auto" w:fill="auto"/>
            <w:noWrap/>
            <w:vAlign w:val="bottom"/>
            <w:hideMark/>
          </w:tcPr>
          <w:p w:rsidR="00C81C7E" w:rsidRPr="00F210D3" w:rsidRDefault="002B051A" w:rsidP="00057011">
            <w:pPr>
              <w:jc w:val="center"/>
              <w:rPr>
                <w:color w:val="000000"/>
              </w:rPr>
            </w:pPr>
            <w:r>
              <w:rPr>
                <w:color w:val="000000"/>
              </w:rPr>
              <w:t>49,</w:t>
            </w:r>
            <w:r w:rsidR="00C81C7E" w:rsidRPr="00F210D3">
              <w:rPr>
                <w:color w:val="000000"/>
              </w:rPr>
              <w:t>91</w:t>
            </w:r>
            <w:r w:rsidR="00C81C7E">
              <w:rPr>
                <w:b/>
                <w:color w:val="000000"/>
              </w:rPr>
              <w:t>±</w:t>
            </w:r>
            <w:r>
              <w:rPr>
                <w:color w:val="000000"/>
              </w:rPr>
              <w:t>2,</w:t>
            </w:r>
            <w:r w:rsidR="00C81C7E">
              <w:rPr>
                <w:color w:val="000000"/>
              </w:rPr>
              <w:t>08</w:t>
            </w:r>
          </w:p>
        </w:tc>
      </w:tr>
      <w:tr w:rsidR="00C81C7E" w:rsidRPr="00255F98" w:rsidTr="00057011">
        <w:trPr>
          <w:trHeight w:val="270"/>
        </w:trPr>
        <w:tc>
          <w:tcPr>
            <w:tcW w:w="2376"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40 : 10</w:t>
            </w:r>
          </w:p>
        </w:tc>
        <w:tc>
          <w:tcPr>
            <w:tcW w:w="2127" w:type="dxa"/>
            <w:tcBorders>
              <w:top w:val="nil"/>
              <w:left w:val="nil"/>
              <w:bottom w:val="nil"/>
              <w:right w:val="nil"/>
            </w:tcBorders>
            <w:shd w:val="clear" w:color="auto" w:fill="auto"/>
            <w:noWrap/>
            <w:vAlign w:val="bottom"/>
            <w:hideMark/>
          </w:tcPr>
          <w:p w:rsidR="00C81C7E" w:rsidRPr="00F210D3" w:rsidRDefault="002B051A" w:rsidP="00057011">
            <w:pPr>
              <w:jc w:val="center"/>
              <w:rPr>
                <w:color w:val="000000"/>
              </w:rPr>
            </w:pPr>
            <w:r>
              <w:rPr>
                <w:color w:val="000000"/>
              </w:rPr>
              <w:t>51,</w:t>
            </w:r>
            <w:r w:rsidR="00C81C7E" w:rsidRPr="00F210D3">
              <w:rPr>
                <w:color w:val="000000"/>
              </w:rPr>
              <w:t>60</w:t>
            </w:r>
            <w:r w:rsidR="00C81C7E">
              <w:rPr>
                <w:b/>
                <w:color w:val="000000"/>
              </w:rPr>
              <w:t>±</w:t>
            </w:r>
            <w:r>
              <w:rPr>
                <w:color w:val="000000"/>
              </w:rPr>
              <w:t>6,</w:t>
            </w:r>
            <w:r w:rsidR="00C81C7E" w:rsidRPr="00F210D3">
              <w:rPr>
                <w:color w:val="000000"/>
              </w:rPr>
              <w:t>53</w:t>
            </w:r>
          </w:p>
        </w:tc>
      </w:tr>
      <w:tr w:rsidR="00C81C7E" w:rsidRPr="00255F98" w:rsidTr="00057011">
        <w:trPr>
          <w:trHeight w:val="270"/>
        </w:trPr>
        <w:tc>
          <w:tcPr>
            <w:tcW w:w="2376" w:type="dxa"/>
            <w:tcBorders>
              <w:top w:val="nil"/>
              <w:left w:val="nil"/>
              <w:bottom w:val="single" w:sz="4" w:space="0" w:color="auto"/>
              <w:right w:val="nil"/>
            </w:tcBorders>
            <w:shd w:val="clear" w:color="auto" w:fill="auto"/>
            <w:noWrap/>
            <w:hideMark/>
          </w:tcPr>
          <w:p w:rsidR="00C81C7E" w:rsidRPr="0023738A" w:rsidRDefault="00C81C7E" w:rsidP="00057011">
            <w:pPr>
              <w:jc w:val="center"/>
              <w:rPr>
                <w:color w:val="000000" w:themeColor="text1"/>
              </w:rPr>
            </w:pPr>
            <w:r>
              <w:rPr>
                <w:color w:val="000000" w:themeColor="text1"/>
              </w:rPr>
              <w:t>50 : 0</w:t>
            </w:r>
          </w:p>
        </w:tc>
        <w:tc>
          <w:tcPr>
            <w:tcW w:w="2127" w:type="dxa"/>
            <w:tcBorders>
              <w:top w:val="nil"/>
              <w:left w:val="nil"/>
              <w:bottom w:val="single" w:sz="4" w:space="0" w:color="auto"/>
              <w:right w:val="nil"/>
            </w:tcBorders>
            <w:shd w:val="clear" w:color="auto" w:fill="auto"/>
            <w:noWrap/>
            <w:vAlign w:val="bottom"/>
            <w:hideMark/>
          </w:tcPr>
          <w:p w:rsidR="00C81C7E" w:rsidRPr="00F210D3" w:rsidRDefault="002B051A" w:rsidP="00057011">
            <w:pPr>
              <w:jc w:val="center"/>
              <w:rPr>
                <w:color w:val="000000"/>
              </w:rPr>
            </w:pPr>
            <w:r>
              <w:rPr>
                <w:color w:val="000000"/>
              </w:rPr>
              <w:t>46,</w:t>
            </w:r>
            <w:r w:rsidR="00C81C7E" w:rsidRPr="00F210D3">
              <w:rPr>
                <w:color w:val="000000"/>
              </w:rPr>
              <w:t>91</w:t>
            </w:r>
            <w:r w:rsidR="00C81C7E">
              <w:rPr>
                <w:b/>
                <w:color w:val="000000"/>
              </w:rPr>
              <w:t>±</w:t>
            </w:r>
            <w:r>
              <w:rPr>
                <w:color w:val="000000"/>
              </w:rPr>
              <w:t>0,</w:t>
            </w:r>
            <w:r w:rsidR="00C81C7E">
              <w:rPr>
                <w:color w:val="000000"/>
              </w:rPr>
              <w:t>56</w:t>
            </w:r>
          </w:p>
        </w:tc>
      </w:tr>
    </w:tbl>
    <w:p w:rsidR="00A10454" w:rsidRDefault="00A10454" w:rsidP="00A10454">
      <w:pPr>
        <w:spacing w:line="276" w:lineRule="auto"/>
        <w:jc w:val="both"/>
      </w:pPr>
    </w:p>
    <w:p w:rsidR="00C91667" w:rsidRPr="00980D69" w:rsidRDefault="00C81C7E" w:rsidP="00C91667">
      <w:pPr>
        <w:spacing w:line="276" w:lineRule="auto"/>
        <w:ind w:firstLine="720"/>
        <w:jc w:val="both"/>
      </w:pPr>
      <w:r w:rsidRPr="00980D69">
        <w:lastRenderedPageBreak/>
        <w:t>Tabel</w:t>
      </w:r>
      <w:r w:rsidR="00DD2F89">
        <w:t xml:space="preserve">  2</w:t>
      </w:r>
      <w:r w:rsidRPr="00980D69">
        <w:t xml:space="preserve">  </w:t>
      </w:r>
      <w:r w:rsidR="00C91667" w:rsidRPr="00980D69">
        <w:t>menunjukkan  bahwa kadar air kue bingke tertinggi pada perlakuan 4</w:t>
      </w:r>
      <w:r w:rsidR="00C91667">
        <w:t>0g</w:t>
      </w:r>
      <w:r w:rsidR="00C91667" w:rsidRPr="00980D69">
        <w:t xml:space="preserve"> ubi ungu </w:t>
      </w:r>
      <w:r w:rsidR="00C91667">
        <w:t>:</w:t>
      </w:r>
      <w:r w:rsidR="00C91667" w:rsidRPr="00980D69">
        <w:t xml:space="preserve"> 1</w:t>
      </w:r>
      <w:r w:rsidR="00C91667">
        <w:t>0g</w:t>
      </w:r>
      <w:r w:rsidR="00C91667" w:rsidRPr="00980D69">
        <w:t xml:space="preserve"> tepung terigu yaitu sebesar 51,60% sedangkan yang terendah terdapat  pada perlakuan 5</w:t>
      </w:r>
      <w:r w:rsidR="00C91667">
        <w:t>0g ubi ungu : 0g</w:t>
      </w:r>
      <w:r w:rsidR="00C91667" w:rsidRPr="00980D69">
        <w:t xml:space="preserve"> tepung terigu yaitu sebesar 46,91% . </w:t>
      </w:r>
    </w:p>
    <w:p w:rsidR="00057011" w:rsidRPr="00B762F1" w:rsidRDefault="00C91667" w:rsidP="00EB78DB">
      <w:pPr>
        <w:spacing w:after="240" w:line="276" w:lineRule="auto"/>
        <w:ind w:firstLine="720"/>
        <w:jc w:val="both"/>
      </w:pPr>
      <w:r w:rsidRPr="009B589E">
        <w:t>Nilai rata-rata kadar air bingke yaitu 46,91%-51,60%, bedasarkan menurut SNI kue basah maksimal kadar air 40%, hal ini menunjukkan bahwa kadar air kue bin</w:t>
      </w:r>
      <w:r>
        <w:t>g</w:t>
      </w:r>
      <w:r w:rsidRPr="009B589E">
        <w:t>ke tidak sesuai d</w:t>
      </w:r>
      <w:r>
        <w:t>e</w:t>
      </w:r>
      <w:r w:rsidRPr="009B589E">
        <w:t>ng</w:t>
      </w:r>
      <w:r>
        <w:t>an</w:t>
      </w:r>
      <w:r w:rsidRPr="009B589E">
        <w:t xml:space="preserve"> SNI kue basah</w:t>
      </w:r>
      <w:r w:rsidRPr="00D86FC8">
        <w:t>. Semakin tinggi substitusi ubi ungu maka ka</w:t>
      </w:r>
      <w:r w:rsidR="00FE0814">
        <w:t>dar air bingke cenderung menigkat</w:t>
      </w:r>
      <w:r w:rsidRPr="00D86FC8">
        <w:t>.</w:t>
      </w:r>
      <w:r w:rsidRPr="00980D69">
        <w:t xml:space="preserve"> Diduga menurunnya kadar air pada bingke disebabkan oleh</w:t>
      </w:r>
      <w:r w:rsidR="00485CA1">
        <w:t xml:space="preserve"> proses lamanya pemanasan yang disesuakan dengan standar pasar.</w:t>
      </w:r>
      <w:r w:rsidRPr="00980D69">
        <w:t xml:space="preserve"> </w:t>
      </w:r>
      <w:r w:rsidR="00485CA1">
        <w:t>K</w:t>
      </w:r>
      <w:r>
        <w:t>andungan karbohidrat pada ubi jalar ungu. Salah satu kandungan karbohidrat yang terdapat pada ubi ungu adalah pati.</w:t>
      </w:r>
      <w:r w:rsidRPr="00E02B4B">
        <w:t xml:space="preserve"> Pati yang tergelatinisasi mempengaruhi penyerapan air, semakin banyak pati yang tergelatinisasi dan terdekstrinisasi semakin besar</w:t>
      </w:r>
      <w:r w:rsidR="00C62A98">
        <w:t xml:space="preserve"> jumlah air yang terserap dan terperangkap</w:t>
      </w:r>
      <w:r w:rsidRPr="00E02B4B">
        <w:t xml:space="preserve"> (Gomez dan Aguilera, 1983).</w:t>
      </w:r>
    </w:p>
    <w:p w:rsidR="00C81C7E" w:rsidRPr="00B762F1" w:rsidRDefault="00C81C7E" w:rsidP="00C81C7E">
      <w:pPr>
        <w:spacing w:line="276" w:lineRule="auto"/>
        <w:jc w:val="both"/>
        <w:rPr>
          <w:b/>
        </w:rPr>
      </w:pPr>
      <w:r>
        <w:rPr>
          <w:b/>
        </w:rPr>
        <w:t xml:space="preserve">Analisis </w:t>
      </w:r>
      <w:r w:rsidRPr="00B762F1">
        <w:rPr>
          <w:b/>
        </w:rPr>
        <w:t>Kadar Protein</w:t>
      </w:r>
    </w:p>
    <w:p w:rsidR="00EB78DB" w:rsidRPr="00064317" w:rsidRDefault="00EB78DB" w:rsidP="00EB78DB">
      <w:pPr>
        <w:spacing w:line="276" w:lineRule="auto"/>
        <w:ind w:firstLine="720"/>
        <w:jc w:val="both"/>
      </w:pPr>
      <w:r w:rsidRPr="0068381A">
        <w:t xml:space="preserve">Protein merupakan salah satu makronutrisi yang memilki peranan penting dalam pembentukan biomolekul, Protein sebagai sumber energi memberikan 4 Kkal per </w:t>
      </w:r>
      <w:r>
        <w:t>gr</w:t>
      </w:r>
      <w:r w:rsidRPr="0068381A">
        <w:t>amnya</w:t>
      </w:r>
      <w:r w:rsidRPr="00A63C08">
        <w:t xml:space="preserve"> (Mustika, 2012).</w:t>
      </w:r>
      <w:r>
        <w:t xml:space="preserve"> Berdasarkan hasil analisis statistik ANOVA taraf uji 5% menunjukkan bahwa penggunaan tepung terigu dan ubi ungu pada berbagai konsentrasi berpengaruh tidak nyata terhadap kadar protein kue bingke ubi ungu</w:t>
      </w:r>
      <w:r w:rsidRPr="00900668">
        <w:t>,</w:t>
      </w:r>
      <w:r>
        <w:t xml:space="preserve"> sehingga tidak dilakukan uji lanjut DMRT taraf uji 5%. Penggunaan ubi ungu dengan tepung terigu  pada berbagai konsentrasi berpengaruh tidak nyata terhadap kadar protein kue bingke ubi ungu, hal ini diduga kandungan protein pada ubi ungu dan tepung terigu tidak terlalu tinggi. Hasil analisis kandungan protein pada ubi ungu </w:t>
      </w:r>
      <w:r>
        <w:lastRenderedPageBreak/>
        <w:t xml:space="preserve">kukus  sebelum diolah sebesar 0,87%, sedangkan kandungan protein pada tepung terigu protein sedang yaitu berkisar antara 8–14% (Gomez, 2007 dan </w:t>
      </w:r>
      <w:r w:rsidRPr="00932A35">
        <w:t>Lubis, 2013)</w:t>
      </w:r>
      <w:r>
        <w:t>. Sehingga tidak memberi pengaruh yang nyata pada kue bingke ubi ungu. Kandungan protein yang terdapat pada kue bingke berasal dari beberapa jenis bahan lainya seperti telur yang mengandung protein 12,8 g/100g bahan (Departemen Kesehatan RI, 1972). Krimer merek dairy champ memiliki kandungan protein sebesar 2,38 g/100g bahan berdasarkan informasi nilai gizi sedangkan kadar protein yang terdapat pada santan yaitu 4,2 g/100g bahan, (Prihatini, 2008).</w:t>
      </w:r>
    </w:p>
    <w:p w:rsidR="00057011" w:rsidRDefault="00EB78DB" w:rsidP="00EB78DB">
      <w:pPr>
        <w:spacing w:line="276" w:lineRule="auto"/>
        <w:ind w:firstLine="720"/>
        <w:jc w:val="both"/>
      </w:pPr>
      <w:r>
        <w:t xml:space="preserve"> Rata-rata kadar protein kue bingke ubi ungu berkisar antara 4,56% - 5,66% disajikan pada </w:t>
      </w:r>
      <w:r w:rsidR="00617803">
        <w:t>Tabel 3</w:t>
      </w:r>
      <w:r w:rsidR="00C81C7E">
        <w:t>.</w:t>
      </w:r>
    </w:p>
    <w:p w:rsidR="00C81C7E" w:rsidRDefault="00617803" w:rsidP="00C81C7E">
      <w:pPr>
        <w:spacing w:line="276" w:lineRule="auto"/>
        <w:jc w:val="both"/>
      </w:pPr>
      <w:r>
        <w:t>Tabel 3</w:t>
      </w:r>
      <w:r w:rsidR="00C81C7E">
        <w:t xml:space="preserve">. </w:t>
      </w:r>
      <w:r w:rsidR="005769FC">
        <w:t>Hasil</w:t>
      </w:r>
      <w:r w:rsidR="00C81C7E">
        <w:t xml:space="preserve"> Rata-Rata Kadar Protein Terlarut Kue Bingke Ubi Ungu</w:t>
      </w:r>
    </w:p>
    <w:tbl>
      <w:tblPr>
        <w:tblW w:w="4436" w:type="dxa"/>
        <w:tblInd w:w="90" w:type="dxa"/>
        <w:tblLook w:val="04A0"/>
      </w:tblPr>
      <w:tblGrid>
        <w:gridCol w:w="2691"/>
        <w:gridCol w:w="1745"/>
      </w:tblGrid>
      <w:tr w:rsidR="00C81C7E" w:rsidRPr="007A6D68" w:rsidTr="00057011">
        <w:trPr>
          <w:trHeight w:val="263"/>
        </w:trPr>
        <w:tc>
          <w:tcPr>
            <w:tcW w:w="2691" w:type="dxa"/>
            <w:tcBorders>
              <w:top w:val="single" w:sz="4" w:space="0" w:color="auto"/>
              <w:left w:val="nil"/>
              <w:bottom w:val="single" w:sz="4" w:space="0" w:color="auto"/>
              <w:right w:val="nil"/>
            </w:tcBorders>
            <w:shd w:val="clear" w:color="auto" w:fill="auto"/>
            <w:noWrap/>
            <w:vAlign w:val="center"/>
            <w:hideMark/>
          </w:tcPr>
          <w:p w:rsidR="00C81C7E" w:rsidRPr="007A6D68" w:rsidRDefault="00C81C7E" w:rsidP="00057011">
            <w:pPr>
              <w:jc w:val="center"/>
              <w:rPr>
                <w:b/>
                <w:color w:val="000000"/>
              </w:rPr>
            </w:pPr>
            <w:r>
              <w:rPr>
                <w:b/>
                <w:color w:val="000000"/>
              </w:rPr>
              <w:t>Ubi Ungu</w:t>
            </w:r>
            <w:r w:rsidR="00777597">
              <w:rPr>
                <w:b/>
                <w:color w:val="000000"/>
              </w:rPr>
              <w:t xml:space="preserve"> (g)</w:t>
            </w:r>
            <w:r>
              <w:rPr>
                <w:b/>
                <w:color w:val="000000"/>
              </w:rPr>
              <w:t xml:space="preserve"> : Tepung Terigu (g)</w:t>
            </w:r>
          </w:p>
        </w:tc>
        <w:tc>
          <w:tcPr>
            <w:tcW w:w="1745" w:type="dxa"/>
            <w:tcBorders>
              <w:top w:val="single" w:sz="4" w:space="0" w:color="auto"/>
              <w:left w:val="nil"/>
              <w:bottom w:val="single" w:sz="4" w:space="0" w:color="auto"/>
              <w:right w:val="nil"/>
            </w:tcBorders>
            <w:shd w:val="clear" w:color="auto" w:fill="auto"/>
            <w:noWrap/>
            <w:vAlign w:val="bottom"/>
            <w:hideMark/>
          </w:tcPr>
          <w:p w:rsidR="00C81C7E" w:rsidRPr="007A6D68" w:rsidRDefault="00C81C7E" w:rsidP="00057011">
            <w:pPr>
              <w:jc w:val="center"/>
              <w:rPr>
                <w:b/>
                <w:color w:val="000000"/>
              </w:rPr>
            </w:pPr>
            <w:r w:rsidRPr="007A6D68">
              <w:rPr>
                <w:b/>
                <w:color w:val="000000"/>
              </w:rPr>
              <w:t>Rata-rata</w:t>
            </w:r>
            <w:r w:rsidRPr="00EB22C7">
              <w:rPr>
                <w:b/>
                <w:color w:val="000000"/>
              </w:rPr>
              <w:t xml:space="preserve"> (</w:t>
            </w:r>
            <w:r>
              <w:rPr>
                <w:b/>
                <w:color w:val="000000"/>
              </w:rPr>
              <w:t>%</w:t>
            </w:r>
            <w:r w:rsidRPr="00EB22C7">
              <w:rPr>
                <w:b/>
                <w:color w:val="000000"/>
              </w:rPr>
              <w:t>)</w:t>
            </w:r>
            <w:r>
              <w:rPr>
                <w:b/>
                <w:color w:val="000000"/>
              </w:rPr>
              <w:t xml:space="preserve"> ± SD</w:t>
            </w:r>
          </w:p>
        </w:tc>
      </w:tr>
      <w:tr w:rsidR="00C81C7E" w:rsidRPr="00F210D3" w:rsidTr="00057011">
        <w:trPr>
          <w:trHeight w:val="263"/>
        </w:trPr>
        <w:tc>
          <w:tcPr>
            <w:tcW w:w="2691" w:type="dxa"/>
            <w:tcBorders>
              <w:top w:val="nil"/>
              <w:left w:val="nil"/>
              <w:bottom w:val="nil"/>
              <w:right w:val="nil"/>
            </w:tcBorders>
            <w:shd w:val="clear" w:color="auto" w:fill="auto"/>
            <w:noWrap/>
            <w:hideMark/>
          </w:tcPr>
          <w:p w:rsidR="00C81C7E" w:rsidRDefault="00C81C7E" w:rsidP="00057011">
            <w:pPr>
              <w:jc w:val="center"/>
              <w:rPr>
                <w:color w:val="000000" w:themeColor="text1"/>
              </w:rPr>
            </w:pPr>
            <w:r>
              <w:rPr>
                <w:color w:val="000000" w:themeColor="text1"/>
              </w:rPr>
              <w:t>0 : 50</w:t>
            </w:r>
          </w:p>
        </w:tc>
        <w:tc>
          <w:tcPr>
            <w:tcW w:w="1745" w:type="dxa"/>
            <w:tcBorders>
              <w:top w:val="nil"/>
              <w:left w:val="nil"/>
              <w:bottom w:val="nil"/>
              <w:right w:val="nil"/>
            </w:tcBorders>
            <w:shd w:val="clear" w:color="auto" w:fill="auto"/>
            <w:noWrap/>
            <w:vAlign w:val="bottom"/>
            <w:hideMark/>
          </w:tcPr>
          <w:p w:rsidR="00C81C7E" w:rsidRPr="00B762F1" w:rsidRDefault="005769FC" w:rsidP="00057011">
            <w:pPr>
              <w:jc w:val="center"/>
            </w:pPr>
            <w:r>
              <w:t>4,</w:t>
            </w:r>
            <w:r w:rsidR="00C81C7E" w:rsidRPr="00B762F1">
              <w:t>56</w:t>
            </w:r>
            <w:r w:rsidR="00C81C7E" w:rsidRPr="00B762F1">
              <w:rPr>
                <w:color w:val="000000"/>
              </w:rPr>
              <w:t>±</w:t>
            </w:r>
            <w:r>
              <w:rPr>
                <w:color w:val="000000"/>
              </w:rPr>
              <w:t>1,</w:t>
            </w:r>
            <w:r w:rsidR="00C81C7E">
              <w:rPr>
                <w:color w:val="000000"/>
              </w:rPr>
              <w:t>61</w:t>
            </w:r>
          </w:p>
        </w:tc>
      </w:tr>
      <w:tr w:rsidR="00C81C7E" w:rsidRPr="00B762F1" w:rsidTr="00057011">
        <w:trPr>
          <w:trHeight w:val="263"/>
        </w:trPr>
        <w:tc>
          <w:tcPr>
            <w:tcW w:w="2691" w:type="dxa"/>
            <w:tcBorders>
              <w:top w:val="nil"/>
              <w:left w:val="nil"/>
              <w:bottom w:val="nil"/>
              <w:right w:val="nil"/>
            </w:tcBorders>
            <w:shd w:val="clear" w:color="auto" w:fill="auto"/>
            <w:noWrap/>
            <w:hideMark/>
          </w:tcPr>
          <w:p w:rsidR="00C81C7E" w:rsidRPr="00B762F1" w:rsidRDefault="00C81C7E" w:rsidP="00057011">
            <w:pPr>
              <w:jc w:val="center"/>
              <w:rPr>
                <w:color w:val="000000" w:themeColor="text1"/>
              </w:rPr>
            </w:pPr>
            <w:r w:rsidRPr="00B762F1">
              <w:rPr>
                <w:color w:val="000000" w:themeColor="text1"/>
              </w:rPr>
              <w:t>10: 40</w:t>
            </w:r>
          </w:p>
        </w:tc>
        <w:tc>
          <w:tcPr>
            <w:tcW w:w="1745" w:type="dxa"/>
            <w:tcBorders>
              <w:top w:val="nil"/>
              <w:left w:val="nil"/>
              <w:bottom w:val="nil"/>
              <w:right w:val="nil"/>
            </w:tcBorders>
            <w:shd w:val="clear" w:color="auto" w:fill="auto"/>
            <w:noWrap/>
            <w:vAlign w:val="bottom"/>
            <w:hideMark/>
          </w:tcPr>
          <w:p w:rsidR="00C81C7E" w:rsidRPr="00B762F1" w:rsidRDefault="005769FC" w:rsidP="00057011">
            <w:pPr>
              <w:jc w:val="center"/>
            </w:pPr>
            <w:r>
              <w:t>5,</w:t>
            </w:r>
            <w:r w:rsidR="00C81C7E" w:rsidRPr="00B762F1">
              <w:t>02</w:t>
            </w:r>
            <w:r w:rsidR="00C81C7E" w:rsidRPr="00B762F1">
              <w:rPr>
                <w:color w:val="000000"/>
              </w:rPr>
              <w:t>±</w:t>
            </w:r>
            <w:r>
              <w:rPr>
                <w:color w:val="000000"/>
              </w:rPr>
              <w:t>1,</w:t>
            </w:r>
            <w:r w:rsidR="00C81C7E">
              <w:rPr>
                <w:color w:val="000000"/>
              </w:rPr>
              <w:t>66</w:t>
            </w:r>
          </w:p>
        </w:tc>
      </w:tr>
      <w:tr w:rsidR="00C81C7E" w:rsidRPr="00B762F1" w:rsidTr="00057011">
        <w:trPr>
          <w:trHeight w:val="263"/>
        </w:trPr>
        <w:tc>
          <w:tcPr>
            <w:tcW w:w="2691" w:type="dxa"/>
            <w:tcBorders>
              <w:top w:val="nil"/>
              <w:left w:val="nil"/>
              <w:bottom w:val="nil"/>
              <w:right w:val="nil"/>
            </w:tcBorders>
            <w:shd w:val="clear" w:color="auto" w:fill="auto"/>
            <w:noWrap/>
            <w:hideMark/>
          </w:tcPr>
          <w:p w:rsidR="00C81C7E" w:rsidRPr="00B762F1" w:rsidRDefault="00C81C7E" w:rsidP="00057011">
            <w:pPr>
              <w:jc w:val="center"/>
              <w:rPr>
                <w:color w:val="000000" w:themeColor="text1"/>
              </w:rPr>
            </w:pPr>
            <w:r w:rsidRPr="00B762F1">
              <w:rPr>
                <w:color w:val="000000" w:themeColor="text1"/>
              </w:rPr>
              <w:t>20 : 30</w:t>
            </w:r>
          </w:p>
        </w:tc>
        <w:tc>
          <w:tcPr>
            <w:tcW w:w="1745" w:type="dxa"/>
            <w:tcBorders>
              <w:top w:val="nil"/>
              <w:left w:val="nil"/>
              <w:bottom w:val="nil"/>
              <w:right w:val="nil"/>
            </w:tcBorders>
            <w:shd w:val="clear" w:color="auto" w:fill="auto"/>
            <w:noWrap/>
            <w:vAlign w:val="bottom"/>
            <w:hideMark/>
          </w:tcPr>
          <w:p w:rsidR="00C81C7E" w:rsidRPr="00B762F1" w:rsidRDefault="005769FC" w:rsidP="00057011">
            <w:pPr>
              <w:jc w:val="center"/>
            </w:pPr>
            <w:r>
              <w:t>5,</w:t>
            </w:r>
            <w:r w:rsidR="00C81C7E" w:rsidRPr="00B762F1">
              <w:t>17</w:t>
            </w:r>
            <w:r w:rsidR="00C81C7E" w:rsidRPr="00B762F1">
              <w:rPr>
                <w:color w:val="000000"/>
              </w:rPr>
              <w:t>±</w:t>
            </w:r>
            <w:r>
              <w:rPr>
                <w:color w:val="000000"/>
              </w:rPr>
              <w:t>1,</w:t>
            </w:r>
            <w:r w:rsidR="00C81C7E">
              <w:rPr>
                <w:color w:val="000000"/>
              </w:rPr>
              <w:t>82</w:t>
            </w:r>
          </w:p>
        </w:tc>
      </w:tr>
      <w:tr w:rsidR="00C81C7E" w:rsidRPr="00B762F1" w:rsidTr="00057011">
        <w:trPr>
          <w:trHeight w:val="263"/>
        </w:trPr>
        <w:tc>
          <w:tcPr>
            <w:tcW w:w="2691" w:type="dxa"/>
            <w:tcBorders>
              <w:top w:val="nil"/>
              <w:left w:val="nil"/>
              <w:bottom w:val="nil"/>
              <w:right w:val="nil"/>
            </w:tcBorders>
            <w:shd w:val="clear" w:color="auto" w:fill="auto"/>
            <w:noWrap/>
            <w:hideMark/>
          </w:tcPr>
          <w:p w:rsidR="00C81C7E" w:rsidRPr="00B762F1" w:rsidRDefault="00C81C7E" w:rsidP="00057011">
            <w:pPr>
              <w:jc w:val="center"/>
              <w:rPr>
                <w:color w:val="000000" w:themeColor="text1"/>
              </w:rPr>
            </w:pPr>
            <w:r w:rsidRPr="00B762F1">
              <w:rPr>
                <w:color w:val="000000" w:themeColor="text1"/>
              </w:rPr>
              <w:t>30 : 20</w:t>
            </w:r>
          </w:p>
        </w:tc>
        <w:tc>
          <w:tcPr>
            <w:tcW w:w="1745" w:type="dxa"/>
            <w:tcBorders>
              <w:top w:val="nil"/>
              <w:left w:val="nil"/>
              <w:bottom w:val="nil"/>
              <w:right w:val="nil"/>
            </w:tcBorders>
            <w:shd w:val="clear" w:color="auto" w:fill="auto"/>
            <w:noWrap/>
            <w:vAlign w:val="bottom"/>
            <w:hideMark/>
          </w:tcPr>
          <w:p w:rsidR="00C81C7E" w:rsidRPr="00B762F1" w:rsidRDefault="005769FC" w:rsidP="00057011">
            <w:pPr>
              <w:jc w:val="center"/>
            </w:pPr>
            <w:r>
              <w:t>5,</w:t>
            </w:r>
            <w:r w:rsidR="00C81C7E" w:rsidRPr="00B762F1">
              <w:t>14</w:t>
            </w:r>
            <w:r w:rsidR="00C81C7E" w:rsidRPr="00B762F1">
              <w:rPr>
                <w:color w:val="000000"/>
              </w:rPr>
              <w:t>±</w:t>
            </w:r>
            <w:r>
              <w:rPr>
                <w:color w:val="000000"/>
              </w:rPr>
              <w:t>1,</w:t>
            </w:r>
            <w:r w:rsidR="00C81C7E">
              <w:rPr>
                <w:color w:val="000000"/>
              </w:rPr>
              <w:t>86</w:t>
            </w:r>
          </w:p>
        </w:tc>
      </w:tr>
      <w:tr w:rsidR="00C81C7E" w:rsidRPr="00B762F1" w:rsidTr="00057011">
        <w:trPr>
          <w:trHeight w:val="263"/>
        </w:trPr>
        <w:tc>
          <w:tcPr>
            <w:tcW w:w="2691" w:type="dxa"/>
            <w:tcBorders>
              <w:top w:val="nil"/>
              <w:left w:val="nil"/>
              <w:bottom w:val="nil"/>
              <w:right w:val="nil"/>
            </w:tcBorders>
            <w:shd w:val="clear" w:color="auto" w:fill="auto"/>
            <w:noWrap/>
            <w:hideMark/>
          </w:tcPr>
          <w:p w:rsidR="00C81C7E" w:rsidRPr="00B762F1" w:rsidRDefault="00C81C7E" w:rsidP="00057011">
            <w:pPr>
              <w:jc w:val="center"/>
              <w:rPr>
                <w:color w:val="000000" w:themeColor="text1"/>
              </w:rPr>
            </w:pPr>
            <w:r w:rsidRPr="00B762F1">
              <w:rPr>
                <w:color w:val="000000" w:themeColor="text1"/>
              </w:rPr>
              <w:t>40 : 10</w:t>
            </w:r>
          </w:p>
        </w:tc>
        <w:tc>
          <w:tcPr>
            <w:tcW w:w="1745" w:type="dxa"/>
            <w:tcBorders>
              <w:top w:val="nil"/>
              <w:left w:val="nil"/>
              <w:bottom w:val="nil"/>
              <w:right w:val="nil"/>
            </w:tcBorders>
            <w:shd w:val="clear" w:color="auto" w:fill="auto"/>
            <w:noWrap/>
            <w:vAlign w:val="bottom"/>
            <w:hideMark/>
          </w:tcPr>
          <w:p w:rsidR="00C81C7E" w:rsidRPr="00B762F1" w:rsidRDefault="005769FC" w:rsidP="00057011">
            <w:pPr>
              <w:jc w:val="center"/>
            </w:pPr>
            <w:r>
              <w:t>5,</w:t>
            </w:r>
            <w:r w:rsidR="00C81C7E" w:rsidRPr="00B762F1">
              <w:t>66</w:t>
            </w:r>
            <w:r w:rsidR="00C81C7E" w:rsidRPr="00B762F1">
              <w:rPr>
                <w:color w:val="000000"/>
              </w:rPr>
              <w:t>±</w:t>
            </w:r>
            <w:r>
              <w:rPr>
                <w:color w:val="000000"/>
              </w:rPr>
              <w:t>0,</w:t>
            </w:r>
            <w:r w:rsidR="00C81C7E">
              <w:rPr>
                <w:color w:val="000000"/>
              </w:rPr>
              <w:t>96</w:t>
            </w:r>
          </w:p>
        </w:tc>
      </w:tr>
      <w:tr w:rsidR="00C81C7E" w:rsidRPr="00B762F1" w:rsidTr="00057011">
        <w:trPr>
          <w:trHeight w:val="263"/>
        </w:trPr>
        <w:tc>
          <w:tcPr>
            <w:tcW w:w="2691" w:type="dxa"/>
            <w:tcBorders>
              <w:top w:val="nil"/>
              <w:left w:val="nil"/>
              <w:bottom w:val="single" w:sz="4" w:space="0" w:color="auto"/>
              <w:right w:val="nil"/>
            </w:tcBorders>
            <w:shd w:val="clear" w:color="auto" w:fill="auto"/>
            <w:noWrap/>
            <w:hideMark/>
          </w:tcPr>
          <w:p w:rsidR="00C81C7E" w:rsidRPr="00B762F1" w:rsidRDefault="00C81C7E" w:rsidP="00057011">
            <w:pPr>
              <w:jc w:val="center"/>
              <w:rPr>
                <w:color w:val="000000" w:themeColor="text1"/>
              </w:rPr>
            </w:pPr>
            <w:r w:rsidRPr="00B762F1">
              <w:rPr>
                <w:color w:val="000000" w:themeColor="text1"/>
              </w:rPr>
              <w:t>50 : 0</w:t>
            </w:r>
          </w:p>
        </w:tc>
        <w:tc>
          <w:tcPr>
            <w:tcW w:w="1745" w:type="dxa"/>
            <w:tcBorders>
              <w:top w:val="nil"/>
              <w:left w:val="nil"/>
              <w:bottom w:val="single" w:sz="4" w:space="0" w:color="auto"/>
              <w:right w:val="nil"/>
            </w:tcBorders>
            <w:shd w:val="clear" w:color="auto" w:fill="auto"/>
            <w:noWrap/>
            <w:vAlign w:val="bottom"/>
            <w:hideMark/>
          </w:tcPr>
          <w:p w:rsidR="00C81C7E" w:rsidRPr="00B762F1" w:rsidRDefault="005769FC" w:rsidP="00057011">
            <w:pPr>
              <w:jc w:val="center"/>
            </w:pPr>
            <w:r>
              <w:t>5,</w:t>
            </w:r>
            <w:r w:rsidR="00C81C7E" w:rsidRPr="00B762F1">
              <w:t>27</w:t>
            </w:r>
            <w:r w:rsidR="00C81C7E" w:rsidRPr="00B762F1">
              <w:rPr>
                <w:color w:val="000000"/>
              </w:rPr>
              <w:t>±</w:t>
            </w:r>
            <w:r>
              <w:rPr>
                <w:color w:val="000000"/>
              </w:rPr>
              <w:t>1,</w:t>
            </w:r>
            <w:r w:rsidR="00C81C7E">
              <w:rPr>
                <w:color w:val="000000"/>
              </w:rPr>
              <w:t>03</w:t>
            </w:r>
          </w:p>
        </w:tc>
      </w:tr>
    </w:tbl>
    <w:p w:rsidR="00F95075" w:rsidRDefault="00F95075" w:rsidP="00C81C7E">
      <w:pPr>
        <w:spacing w:line="276" w:lineRule="auto"/>
        <w:jc w:val="both"/>
        <w:rPr>
          <w:b/>
        </w:rPr>
      </w:pPr>
    </w:p>
    <w:p w:rsidR="00C81C7E" w:rsidRDefault="00C81C7E" w:rsidP="00C81C7E">
      <w:pPr>
        <w:spacing w:line="276" w:lineRule="auto"/>
        <w:jc w:val="both"/>
        <w:rPr>
          <w:b/>
        </w:rPr>
      </w:pPr>
      <w:r>
        <w:rPr>
          <w:b/>
        </w:rPr>
        <w:t>Uji Organoleptik</w:t>
      </w:r>
    </w:p>
    <w:p w:rsidR="00B11E72" w:rsidRDefault="00246999" w:rsidP="00C06C82">
      <w:pPr>
        <w:spacing w:line="276" w:lineRule="auto"/>
        <w:jc w:val="both"/>
      </w:pPr>
      <w:r>
        <w:t>Uji organoleptik dilakukan untuk mengetahui tingkat kesukaan panelis terhadap kue bingke ubi ungu.</w:t>
      </w:r>
      <w:r w:rsidR="00C06C82">
        <w:t xml:space="preserve"> Penilaian uji organoleptik pada kue bingke dilakukaan oleh panelis yang tidak terlatih.</w:t>
      </w:r>
      <w:r>
        <w:t xml:space="preserve"> Hasil uji Kruskall Wallis sifat organoleptik kue bingke ubi ungu bisa dilihat pada</w:t>
      </w:r>
      <w:r w:rsidR="00617803">
        <w:t xml:space="preserve"> Tabel 4</w:t>
      </w:r>
      <w:r w:rsidR="00C81C7E">
        <w:t>.</w:t>
      </w:r>
    </w:p>
    <w:p w:rsidR="00F95075" w:rsidRDefault="00617803" w:rsidP="00246999">
      <w:pPr>
        <w:spacing w:line="276" w:lineRule="auto"/>
        <w:jc w:val="both"/>
      </w:pPr>
      <w:r>
        <w:t>Tabel 4</w:t>
      </w:r>
      <w:r w:rsidR="00C81C7E">
        <w:t xml:space="preserve">.  </w:t>
      </w:r>
      <w:r w:rsidR="00246999">
        <w:t>Nilai Rata-Rata Kesukaan Panelis Terhadap Kue Bingke Ubi Ungu.</w:t>
      </w:r>
    </w:p>
    <w:p w:rsidR="00F95075" w:rsidRDefault="00F95075" w:rsidP="00246999">
      <w:pPr>
        <w:spacing w:line="276" w:lineRule="auto"/>
        <w:jc w:val="both"/>
      </w:pPr>
    </w:p>
    <w:p w:rsidR="00F95075" w:rsidRDefault="00F95075" w:rsidP="00C81C7E">
      <w:pPr>
        <w:spacing w:line="276" w:lineRule="auto"/>
        <w:jc w:val="both"/>
      </w:pPr>
    </w:p>
    <w:p w:rsidR="00F95075" w:rsidRDefault="00F95075" w:rsidP="00C81C7E">
      <w:pPr>
        <w:spacing w:line="276" w:lineRule="auto"/>
        <w:jc w:val="both"/>
      </w:pPr>
    </w:p>
    <w:p w:rsidR="00903B20" w:rsidRDefault="00903B20" w:rsidP="00F80993"/>
    <w:p w:rsidR="00C06C82" w:rsidRDefault="00C06C82" w:rsidP="00F80993">
      <w:pPr>
        <w:rPr>
          <w:color w:val="000000"/>
          <w:sz w:val="16"/>
          <w:szCs w:val="16"/>
        </w:rPr>
      </w:pPr>
    </w:p>
    <w:p w:rsidR="008328F4" w:rsidRDefault="008328F4" w:rsidP="00057011">
      <w:pPr>
        <w:jc w:val="center"/>
        <w:rPr>
          <w:color w:val="000000"/>
          <w:sz w:val="16"/>
          <w:szCs w:val="16"/>
        </w:rPr>
        <w:sectPr w:rsidR="008328F4" w:rsidSect="00A801E1">
          <w:type w:val="continuous"/>
          <w:pgSz w:w="11907" w:h="16839" w:code="9"/>
          <w:pgMar w:top="1699" w:right="1282" w:bottom="1282" w:left="1699" w:header="720" w:footer="720" w:gutter="0"/>
          <w:cols w:num="2" w:space="264"/>
          <w:docGrid w:linePitch="360"/>
        </w:sectPr>
      </w:pPr>
    </w:p>
    <w:tbl>
      <w:tblPr>
        <w:tblW w:w="9124" w:type="dxa"/>
        <w:tblLayout w:type="fixed"/>
        <w:tblLook w:val="04A0"/>
      </w:tblPr>
      <w:tblGrid>
        <w:gridCol w:w="1035"/>
        <w:gridCol w:w="1018"/>
        <w:gridCol w:w="1453"/>
        <w:gridCol w:w="1293"/>
        <w:gridCol w:w="1436"/>
        <w:gridCol w:w="1453"/>
        <w:gridCol w:w="1436"/>
      </w:tblGrid>
      <w:tr w:rsidR="00C81C7E" w:rsidRPr="00E326CD" w:rsidTr="006520C9">
        <w:trPr>
          <w:trHeight w:val="293"/>
        </w:trPr>
        <w:tc>
          <w:tcPr>
            <w:tcW w:w="2053" w:type="dxa"/>
            <w:gridSpan w:val="2"/>
            <w:tcBorders>
              <w:top w:val="single" w:sz="4" w:space="0" w:color="auto"/>
              <w:bottom w:val="single" w:sz="4" w:space="0" w:color="auto"/>
            </w:tcBorders>
          </w:tcPr>
          <w:p w:rsidR="00C81C7E" w:rsidRPr="00057011" w:rsidRDefault="00C81C7E" w:rsidP="00057011">
            <w:pPr>
              <w:jc w:val="center"/>
              <w:rPr>
                <w:color w:val="000000"/>
                <w:sz w:val="20"/>
                <w:szCs w:val="20"/>
              </w:rPr>
            </w:pPr>
            <w:r w:rsidRPr="00057011">
              <w:rPr>
                <w:color w:val="000000"/>
                <w:sz w:val="20"/>
                <w:szCs w:val="20"/>
              </w:rPr>
              <w:lastRenderedPageBreak/>
              <w:t>Perlakuan</w:t>
            </w:r>
          </w:p>
        </w:tc>
        <w:tc>
          <w:tcPr>
            <w:tcW w:w="1453" w:type="dxa"/>
            <w:tcBorders>
              <w:top w:val="single" w:sz="4"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Warna</w:t>
            </w:r>
          </w:p>
        </w:tc>
        <w:tc>
          <w:tcPr>
            <w:tcW w:w="1293" w:type="dxa"/>
            <w:tcBorders>
              <w:top w:val="single" w:sz="8" w:space="0" w:color="auto"/>
              <w:left w:val="nil"/>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cita rasa</w:t>
            </w:r>
          </w:p>
        </w:tc>
        <w:tc>
          <w:tcPr>
            <w:tcW w:w="1436" w:type="dxa"/>
            <w:tcBorders>
              <w:top w:val="single" w:sz="8"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Tingkat kemanisan</w:t>
            </w:r>
          </w:p>
        </w:tc>
        <w:tc>
          <w:tcPr>
            <w:tcW w:w="1453" w:type="dxa"/>
            <w:tcBorders>
              <w:top w:val="single" w:sz="8"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Tekstur</w:t>
            </w:r>
          </w:p>
        </w:tc>
        <w:tc>
          <w:tcPr>
            <w:tcW w:w="1436" w:type="dxa"/>
            <w:tcBorders>
              <w:top w:val="single" w:sz="8" w:space="0" w:color="auto"/>
              <w:bottom w:val="single" w:sz="4" w:space="0" w:color="auto"/>
            </w:tcBorders>
            <w:shd w:val="clear" w:color="auto" w:fill="auto"/>
            <w:noWrap/>
            <w:vAlign w:val="center"/>
            <w:hideMark/>
          </w:tcPr>
          <w:p w:rsidR="00C81C7E" w:rsidRPr="00057011" w:rsidRDefault="00867DF1" w:rsidP="00C81C7E">
            <w:pPr>
              <w:spacing w:line="276" w:lineRule="auto"/>
              <w:jc w:val="center"/>
              <w:rPr>
                <w:color w:val="000000"/>
                <w:sz w:val="20"/>
                <w:szCs w:val="20"/>
              </w:rPr>
            </w:pPr>
            <w:r w:rsidRPr="00057011">
              <w:rPr>
                <w:color w:val="000000"/>
                <w:sz w:val="20"/>
                <w:szCs w:val="20"/>
              </w:rPr>
              <w:t>K</w:t>
            </w:r>
            <w:r w:rsidR="00C81C7E" w:rsidRPr="00057011">
              <w:rPr>
                <w:color w:val="000000"/>
                <w:sz w:val="20"/>
                <w:szCs w:val="20"/>
              </w:rPr>
              <w:t>esukaan</w:t>
            </w:r>
          </w:p>
        </w:tc>
      </w:tr>
      <w:tr w:rsidR="00C81C7E" w:rsidRPr="00E326CD" w:rsidTr="006520C9">
        <w:trPr>
          <w:trHeight w:val="307"/>
        </w:trPr>
        <w:tc>
          <w:tcPr>
            <w:tcW w:w="1035" w:type="dxa"/>
            <w:tcBorders>
              <w:top w:val="single" w:sz="4" w:space="0" w:color="auto"/>
              <w:bottom w:val="single" w:sz="4" w:space="0" w:color="auto"/>
            </w:tcBorders>
          </w:tcPr>
          <w:p w:rsidR="00C81C7E" w:rsidRPr="00057011" w:rsidRDefault="00C81C7E" w:rsidP="00057011">
            <w:pPr>
              <w:jc w:val="center"/>
              <w:rPr>
                <w:color w:val="000000"/>
                <w:sz w:val="20"/>
                <w:szCs w:val="20"/>
              </w:rPr>
            </w:pPr>
            <w:r w:rsidRPr="00057011">
              <w:rPr>
                <w:color w:val="000000"/>
                <w:sz w:val="20"/>
                <w:szCs w:val="20"/>
              </w:rPr>
              <w:t>Ubi</w:t>
            </w:r>
          </w:p>
          <w:p w:rsidR="00C81C7E" w:rsidRPr="00057011" w:rsidRDefault="00C81C7E" w:rsidP="00057011">
            <w:pPr>
              <w:jc w:val="center"/>
              <w:rPr>
                <w:color w:val="000000"/>
                <w:sz w:val="20"/>
                <w:szCs w:val="20"/>
              </w:rPr>
            </w:pPr>
            <w:r w:rsidRPr="00057011">
              <w:rPr>
                <w:color w:val="000000"/>
                <w:sz w:val="20"/>
                <w:szCs w:val="20"/>
              </w:rPr>
              <w:t>Ungu</w:t>
            </w:r>
          </w:p>
        </w:tc>
        <w:tc>
          <w:tcPr>
            <w:tcW w:w="1018" w:type="dxa"/>
            <w:tcBorders>
              <w:top w:val="single" w:sz="4"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Tepung Terigu</w:t>
            </w:r>
          </w:p>
        </w:tc>
        <w:tc>
          <w:tcPr>
            <w:tcW w:w="1453" w:type="dxa"/>
            <w:tcBorders>
              <w:top w:val="single" w:sz="4"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rata-rata±std</w:t>
            </w:r>
          </w:p>
        </w:tc>
        <w:tc>
          <w:tcPr>
            <w:tcW w:w="1293" w:type="dxa"/>
            <w:tcBorders>
              <w:top w:val="nil"/>
              <w:left w:val="nil"/>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rata-rata±std</w:t>
            </w:r>
          </w:p>
        </w:tc>
        <w:tc>
          <w:tcPr>
            <w:tcW w:w="1436" w:type="dxa"/>
            <w:tcBorders>
              <w:top w:val="nil"/>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rata-rata±std</w:t>
            </w:r>
          </w:p>
        </w:tc>
        <w:tc>
          <w:tcPr>
            <w:tcW w:w="1453" w:type="dxa"/>
            <w:tcBorders>
              <w:top w:val="nil"/>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rata-rata±std</w:t>
            </w:r>
          </w:p>
        </w:tc>
        <w:tc>
          <w:tcPr>
            <w:tcW w:w="1436" w:type="dxa"/>
            <w:tcBorders>
              <w:top w:val="nil"/>
              <w:bottom w:val="single" w:sz="8" w:space="0" w:color="auto"/>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rata-rata±std</w:t>
            </w:r>
          </w:p>
        </w:tc>
      </w:tr>
      <w:tr w:rsidR="00C81C7E" w:rsidRPr="00E326CD" w:rsidTr="006520C9">
        <w:trPr>
          <w:trHeight w:val="293"/>
        </w:trPr>
        <w:tc>
          <w:tcPr>
            <w:tcW w:w="1035" w:type="dxa"/>
            <w:tcBorders>
              <w:top w:val="single" w:sz="4" w:space="0" w:color="auto"/>
            </w:tcBorders>
          </w:tcPr>
          <w:p w:rsidR="00C81C7E" w:rsidRPr="00057011" w:rsidRDefault="009B0234" w:rsidP="00057011">
            <w:pPr>
              <w:jc w:val="center"/>
              <w:rPr>
                <w:color w:val="000000"/>
                <w:sz w:val="20"/>
                <w:szCs w:val="20"/>
              </w:rPr>
            </w:pPr>
            <w:r>
              <w:rPr>
                <w:color w:val="000000"/>
                <w:sz w:val="20"/>
                <w:szCs w:val="20"/>
              </w:rPr>
              <w:t>0g</w:t>
            </w:r>
          </w:p>
        </w:tc>
        <w:tc>
          <w:tcPr>
            <w:tcW w:w="1018" w:type="dxa"/>
            <w:tcBorders>
              <w:top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5</w:t>
            </w:r>
            <w:r w:rsidR="009B0234">
              <w:rPr>
                <w:color w:val="000000"/>
                <w:sz w:val="20"/>
                <w:szCs w:val="20"/>
              </w:rPr>
              <w:t>0g</w:t>
            </w:r>
          </w:p>
        </w:tc>
        <w:tc>
          <w:tcPr>
            <w:tcW w:w="1453" w:type="dxa"/>
            <w:tcBorders>
              <w:top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3.57±0.90</w:t>
            </w:r>
          </w:p>
        </w:tc>
        <w:tc>
          <w:tcPr>
            <w:tcW w:w="1293" w:type="dxa"/>
            <w:tcBorders>
              <w:top w:val="single" w:sz="8" w:space="0" w:color="auto"/>
              <w:left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4.00±0.64</w:t>
            </w:r>
          </w:p>
        </w:tc>
        <w:tc>
          <w:tcPr>
            <w:tcW w:w="1436" w:type="dxa"/>
            <w:tcBorders>
              <w:top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3.93±0.83</w:t>
            </w:r>
          </w:p>
        </w:tc>
        <w:tc>
          <w:tcPr>
            <w:tcW w:w="1453" w:type="dxa"/>
            <w:tcBorders>
              <w:top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3.87±0.94</w:t>
            </w:r>
          </w:p>
        </w:tc>
        <w:tc>
          <w:tcPr>
            <w:tcW w:w="1436" w:type="dxa"/>
            <w:tcBorders>
              <w:top w:val="single" w:sz="8" w:space="0" w:color="auto"/>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3.97±0.76</w:t>
            </w:r>
          </w:p>
        </w:tc>
      </w:tr>
      <w:tr w:rsidR="00C81C7E" w:rsidRPr="00E326CD" w:rsidTr="006520C9">
        <w:trPr>
          <w:trHeight w:val="293"/>
        </w:trPr>
        <w:tc>
          <w:tcPr>
            <w:tcW w:w="1035" w:type="dxa"/>
          </w:tcPr>
          <w:p w:rsidR="00C81C7E" w:rsidRPr="00057011" w:rsidRDefault="00C81C7E" w:rsidP="00057011">
            <w:pPr>
              <w:jc w:val="center"/>
              <w:rPr>
                <w:color w:val="000000"/>
                <w:sz w:val="20"/>
                <w:szCs w:val="20"/>
              </w:rPr>
            </w:pPr>
            <w:r w:rsidRPr="00057011">
              <w:rPr>
                <w:color w:val="000000"/>
                <w:sz w:val="20"/>
                <w:szCs w:val="20"/>
              </w:rPr>
              <w:t>1</w:t>
            </w:r>
            <w:r w:rsidR="009B0234">
              <w:rPr>
                <w:color w:val="000000"/>
                <w:sz w:val="20"/>
                <w:szCs w:val="20"/>
              </w:rPr>
              <w:t>0g</w:t>
            </w:r>
          </w:p>
        </w:tc>
        <w:tc>
          <w:tcPr>
            <w:tcW w:w="1018"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4</w:t>
            </w:r>
            <w:r w:rsidR="009B0234">
              <w:rPr>
                <w:color w:val="000000"/>
                <w:sz w:val="20"/>
                <w:szCs w:val="20"/>
              </w:rPr>
              <w:t>0g</w:t>
            </w:r>
          </w:p>
        </w:tc>
        <w:tc>
          <w:tcPr>
            <w:tcW w:w="1453"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3.43±0.68</w:t>
            </w:r>
          </w:p>
        </w:tc>
        <w:tc>
          <w:tcPr>
            <w:tcW w:w="1293" w:type="dxa"/>
            <w:tcBorders>
              <w:top w:val="nil"/>
              <w:left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3.63±0.96</w:t>
            </w:r>
          </w:p>
        </w:tc>
        <w:tc>
          <w:tcPr>
            <w:tcW w:w="1436"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3.77±0.77</w:t>
            </w:r>
          </w:p>
        </w:tc>
        <w:tc>
          <w:tcPr>
            <w:tcW w:w="1453"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3.57±0.94</w:t>
            </w:r>
          </w:p>
        </w:tc>
        <w:tc>
          <w:tcPr>
            <w:tcW w:w="1436" w:type="dxa"/>
            <w:tcBorders>
              <w:top w:val="nil"/>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3.73±0.91</w:t>
            </w:r>
          </w:p>
        </w:tc>
      </w:tr>
      <w:tr w:rsidR="00C81C7E" w:rsidRPr="00E326CD" w:rsidTr="006520C9">
        <w:trPr>
          <w:trHeight w:val="293"/>
        </w:trPr>
        <w:tc>
          <w:tcPr>
            <w:tcW w:w="1035" w:type="dxa"/>
          </w:tcPr>
          <w:p w:rsidR="00C81C7E" w:rsidRPr="00057011" w:rsidRDefault="00C81C7E" w:rsidP="00057011">
            <w:pPr>
              <w:jc w:val="center"/>
              <w:rPr>
                <w:color w:val="000000"/>
                <w:sz w:val="20"/>
                <w:szCs w:val="20"/>
              </w:rPr>
            </w:pPr>
            <w:r w:rsidRPr="00057011">
              <w:rPr>
                <w:color w:val="000000"/>
                <w:sz w:val="20"/>
                <w:szCs w:val="20"/>
              </w:rPr>
              <w:t>2</w:t>
            </w:r>
            <w:r w:rsidR="009B0234">
              <w:rPr>
                <w:color w:val="000000"/>
                <w:sz w:val="20"/>
                <w:szCs w:val="20"/>
              </w:rPr>
              <w:t>0g</w:t>
            </w:r>
          </w:p>
        </w:tc>
        <w:tc>
          <w:tcPr>
            <w:tcW w:w="1018"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w:t>
            </w:r>
            <w:r w:rsidR="009B0234">
              <w:rPr>
                <w:color w:val="000000"/>
                <w:sz w:val="20"/>
                <w:szCs w:val="20"/>
              </w:rPr>
              <w:t>0g</w:t>
            </w:r>
          </w:p>
        </w:tc>
        <w:tc>
          <w:tcPr>
            <w:tcW w:w="1453"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3.33±0.66</w:t>
            </w:r>
          </w:p>
        </w:tc>
        <w:tc>
          <w:tcPr>
            <w:tcW w:w="1293" w:type="dxa"/>
            <w:tcBorders>
              <w:top w:val="nil"/>
              <w:left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3.47±0.73</w:t>
            </w:r>
          </w:p>
        </w:tc>
        <w:tc>
          <w:tcPr>
            <w:tcW w:w="1436"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3.60±0.56</w:t>
            </w:r>
          </w:p>
        </w:tc>
        <w:tc>
          <w:tcPr>
            <w:tcW w:w="1453"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3.67±0.71</w:t>
            </w:r>
          </w:p>
        </w:tc>
        <w:tc>
          <w:tcPr>
            <w:tcW w:w="1436" w:type="dxa"/>
            <w:tcBorders>
              <w:top w:val="nil"/>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3.60±0.72</w:t>
            </w:r>
          </w:p>
        </w:tc>
      </w:tr>
      <w:tr w:rsidR="00C81C7E" w:rsidRPr="00E326CD" w:rsidTr="006520C9">
        <w:trPr>
          <w:trHeight w:val="293"/>
        </w:trPr>
        <w:tc>
          <w:tcPr>
            <w:tcW w:w="1035" w:type="dxa"/>
          </w:tcPr>
          <w:p w:rsidR="00C81C7E" w:rsidRPr="00057011" w:rsidRDefault="00C81C7E" w:rsidP="00057011">
            <w:pPr>
              <w:jc w:val="center"/>
              <w:rPr>
                <w:color w:val="000000"/>
                <w:sz w:val="20"/>
                <w:szCs w:val="20"/>
              </w:rPr>
            </w:pPr>
            <w:r w:rsidRPr="00057011">
              <w:rPr>
                <w:color w:val="000000"/>
                <w:sz w:val="20"/>
                <w:szCs w:val="20"/>
              </w:rPr>
              <w:t>3</w:t>
            </w:r>
            <w:r w:rsidR="009B0234">
              <w:rPr>
                <w:color w:val="000000"/>
                <w:sz w:val="20"/>
                <w:szCs w:val="20"/>
              </w:rPr>
              <w:t>0g</w:t>
            </w:r>
          </w:p>
        </w:tc>
        <w:tc>
          <w:tcPr>
            <w:tcW w:w="1018"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2</w:t>
            </w:r>
            <w:r w:rsidR="009B0234">
              <w:rPr>
                <w:color w:val="000000"/>
                <w:sz w:val="20"/>
                <w:szCs w:val="20"/>
              </w:rPr>
              <w:t>0g</w:t>
            </w:r>
          </w:p>
        </w:tc>
        <w:tc>
          <w:tcPr>
            <w:tcW w:w="1453"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3.53±0.94</w:t>
            </w:r>
          </w:p>
        </w:tc>
        <w:tc>
          <w:tcPr>
            <w:tcW w:w="1293" w:type="dxa"/>
            <w:tcBorders>
              <w:top w:val="nil"/>
              <w:left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3.90±0.66</w:t>
            </w:r>
          </w:p>
        </w:tc>
        <w:tc>
          <w:tcPr>
            <w:tcW w:w="1436"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3.87±0.68</w:t>
            </w:r>
          </w:p>
        </w:tc>
        <w:tc>
          <w:tcPr>
            <w:tcW w:w="1453"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3.63±0.72</w:t>
            </w:r>
          </w:p>
        </w:tc>
        <w:tc>
          <w:tcPr>
            <w:tcW w:w="1436" w:type="dxa"/>
            <w:tcBorders>
              <w:top w:val="nil"/>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3.70±0.65</w:t>
            </w:r>
          </w:p>
        </w:tc>
      </w:tr>
      <w:tr w:rsidR="00C81C7E" w:rsidRPr="00E326CD" w:rsidTr="006520C9">
        <w:trPr>
          <w:trHeight w:val="293"/>
        </w:trPr>
        <w:tc>
          <w:tcPr>
            <w:tcW w:w="1035" w:type="dxa"/>
          </w:tcPr>
          <w:p w:rsidR="00C81C7E" w:rsidRPr="00057011" w:rsidRDefault="00C81C7E" w:rsidP="00057011">
            <w:pPr>
              <w:jc w:val="center"/>
              <w:rPr>
                <w:color w:val="000000"/>
                <w:sz w:val="20"/>
                <w:szCs w:val="20"/>
              </w:rPr>
            </w:pPr>
            <w:r w:rsidRPr="00057011">
              <w:rPr>
                <w:color w:val="000000"/>
                <w:sz w:val="20"/>
                <w:szCs w:val="20"/>
              </w:rPr>
              <w:t>4</w:t>
            </w:r>
            <w:r w:rsidR="009B0234">
              <w:rPr>
                <w:color w:val="000000"/>
                <w:sz w:val="20"/>
                <w:szCs w:val="20"/>
              </w:rPr>
              <w:t>0g</w:t>
            </w:r>
          </w:p>
        </w:tc>
        <w:tc>
          <w:tcPr>
            <w:tcW w:w="1018"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1</w:t>
            </w:r>
            <w:r w:rsidR="009B0234">
              <w:rPr>
                <w:color w:val="000000"/>
                <w:sz w:val="20"/>
                <w:szCs w:val="20"/>
              </w:rPr>
              <w:t>0g</w:t>
            </w:r>
          </w:p>
        </w:tc>
        <w:tc>
          <w:tcPr>
            <w:tcW w:w="1453" w:type="dxa"/>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3.70±0.88</w:t>
            </w:r>
          </w:p>
        </w:tc>
        <w:tc>
          <w:tcPr>
            <w:tcW w:w="1293" w:type="dxa"/>
            <w:tcBorders>
              <w:top w:val="nil"/>
              <w:left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3.47±0.78</w:t>
            </w:r>
          </w:p>
        </w:tc>
        <w:tc>
          <w:tcPr>
            <w:tcW w:w="1436"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3.68±0.76</w:t>
            </w:r>
          </w:p>
        </w:tc>
        <w:tc>
          <w:tcPr>
            <w:tcW w:w="1453" w:type="dxa"/>
            <w:tcBorders>
              <w:top w:val="nil"/>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3.60±0.86</w:t>
            </w:r>
          </w:p>
        </w:tc>
        <w:tc>
          <w:tcPr>
            <w:tcW w:w="1436" w:type="dxa"/>
            <w:tcBorders>
              <w:top w:val="nil"/>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3.60±0.72</w:t>
            </w:r>
          </w:p>
        </w:tc>
      </w:tr>
      <w:tr w:rsidR="00C81C7E" w:rsidRPr="00E326CD" w:rsidTr="006520C9">
        <w:trPr>
          <w:trHeight w:val="307"/>
        </w:trPr>
        <w:tc>
          <w:tcPr>
            <w:tcW w:w="1035" w:type="dxa"/>
            <w:tcBorders>
              <w:bottom w:val="single" w:sz="4" w:space="0" w:color="auto"/>
            </w:tcBorders>
          </w:tcPr>
          <w:p w:rsidR="00C81C7E" w:rsidRPr="00057011" w:rsidRDefault="00C81C7E" w:rsidP="00057011">
            <w:pPr>
              <w:jc w:val="center"/>
              <w:rPr>
                <w:color w:val="000000"/>
                <w:sz w:val="20"/>
                <w:szCs w:val="20"/>
              </w:rPr>
            </w:pPr>
            <w:r w:rsidRPr="00057011">
              <w:rPr>
                <w:color w:val="000000"/>
                <w:sz w:val="20"/>
                <w:szCs w:val="20"/>
              </w:rPr>
              <w:t>5</w:t>
            </w:r>
            <w:r w:rsidR="009B0234">
              <w:rPr>
                <w:color w:val="000000"/>
                <w:sz w:val="20"/>
                <w:szCs w:val="20"/>
              </w:rPr>
              <w:t>0g</w:t>
            </w:r>
          </w:p>
        </w:tc>
        <w:tc>
          <w:tcPr>
            <w:tcW w:w="1018" w:type="dxa"/>
            <w:tcBorders>
              <w:bottom w:val="single" w:sz="4" w:space="0" w:color="auto"/>
            </w:tcBorders>
            <w:shd w:val="clear" w:color="auto" w:fill="auto"/>
            <w:noWrap/>
            <w:vAlign w:val="center"/>
            <w:hideMark/>
          </w:tcPr>
          <w:p w:rsidR="00C81C7E" w:rsidRPr="00057011" w:rsidRDefault="009B0234" w:rsidP="00057011">
            <w:pPr>
              <w:jc w:val="center"/>
              <w:rPr>
                <w:color w:val="000000"/>
                <w:sz w:val="20"/>
                <w:szCs w:val="20"/>
              </w:rPr>
            </w:pPr>
            <w:r>
              <w:rPr>
                <w:color w:val="000000"/>
                <w:sz w:val="20"/>
                <w:szCs w:val="20"/>
              </w:rPr>
              <w:t>0g</w:t>
            </w:r>
          </w:p>
        </w:tc>
        <w:tc>
          <w:tcPr>
            <w:tcW w:w="1453" w:type="dxa"/>
            <w:tcBorders>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3.87±1.14</w:t>
            </w:r>
          </w:p>
        </w:tc>
        <w:tc>
          <w:tcPr>
            <w:tcW w:w="1293" w:type="dxa"/>
            <w:tcBorders>
              <w:top w:val="nil"/>
              <w:left w:val="nil"/>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4.10±0.96</w:t>
            </w:r>
          </w:p>
        </w:tc>
        <w:tc>
          <w:tcPr>
            <w:tcW w:w="1436" w:type="dxa"/>
            <w:tcBorders>
              <w:top w:val="nil"/>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3.97±0.93</w:t>
            </w:r>
          </w:p>
        </w:tc>
        <w:tc>
          <w:tcPr>
            <w:tcW w:w="1453" w:type="dxa"/>
            <w:tcBorders>
              <w:top w:val="nil"/>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3.87±1.11</w:t>
            </w:r>
          </w:p>
        </w:tc>
        <w:tc>
          <w:tcPr>
            <w:tcW w:w="1436" w:type="dxa"/>
            <w:tcBorders>
              <w:top w:val="nil"/>
              <w:bottom w:val="single" w:sz="4" w:space="0" w:color="auto"/>
            </w:tcBorders>
            <w:shd w:val="clear" w:color="auto" w:fill="auto"/>
            <w:noWrap/>
            <w:vAlign w:val="center"/>
            <w:hideMark/>
          </w:tcPr>
          <w:p w:rsidR="00C81C7E" w:rsidRPr="00057011" w:rsidRDefault="00C81C7E" w:rsidP="00C81C7E">
            <w:pPr>
              <w:spacing w:line="276" w:lineRule="auto"/>
              <w:jc w:val="center"/>
              <w:rPr>
                <w:color w:val="000000"/>
                <w:sz w:val="20"/>
                <w:szCs w:val="20"/>
              </w:rPr>
            </w:pPr>
            <w:r w:rsidRPr="00057011">
              <w:rPr>
                <w:color w:val="000000"/>
                <w:sz w:val="20"/>
                <w:szCs w:val="20"/>
              </w:rPr>
              <w:t>4.17±0.99</w:t>
            </w:r>
          </w:p>
        </w:tc>
      </w:tr>
      <w:tr w:rsidR="00C81C7E" w:rsidRPr="00BC59A6" w:rsidTr="006520C9">
        <w:trPr>
          <w:trHeight w:val="410"/>
        </w:trPr>
        <w:tc>
          <w:tcPr>
            <w:tcW w:w="1035" w:type="dxa"/>
            <w:tcBorders>
              <w:top w:val="single" w:sz="4" w:space="0" w:color="auto"/>
              <w:bottom w:val="single" w:sz="4" w:space="0" w:color="auto"/>
            </w:tcBorders>
          </w:tcPr>
          <w:p w:rsidR="00C81C7E" w:rsidRPr="00057011" w:rsidRDefault="00C81C7E" w:rsidP="00057011">
            <w:pPr>
              <w:rPr>
                <w:color w:val="000000"/>
                <w:sz w:val="20"/>
                <w:szCs w:val="20"/>
              </w:rPr>
            </w:pPr>
          </w:p>
        </w:tc>
        <w:tc>
          <w:tcPr>
            <w:tcW w:w="1018" w:type="dxa"/>
            <w:tcBorders>
              <w:top w:val="single" w:sz="4"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Chi 0,05 =</w:t>
            </w:r>
          </w:p>
          <w:p w:rsidR="00C81C7E" w:rsidRPr="00057011" w:rsidRDefault="00C81C7E" w:rsidP="00057011">
            <w:pPr>
              <w:jc w:val="center"/>
              <w:rPr>
                <w:color w:val="000000"/>
                <w:sz w:val="20"/>
                <w:szCs w:val="20"/>
              </w:rPr>
            </w:pPr>
            <w:r w:rsidRPr="00057011">
              <w:rPr>
                <w:color w:val="000000"/>
                <w:sz w:val="20"/>
                <w:szCs w:val="20"/>
              </w:rPr>
              <w:t>11.0705</w:t>
            </w:r>
          </w:p>
        </w:tc>
        <w:tc>
          <w:tcPr>
            <w:tcW w:w="1453" w:type="dxa"/>
            <w:tcBorders>
              <w:top w:val="single" w:sz="4" w:space="0" w:color="auto"/>
              <w:bottom w:val="single" w:sz="4"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KW =</w:t>
            </w:r>
          </w:p>
          <w:p w:rsidR="00C81C7E" w:rsidRPr="00057011" w:rsidRDefault="00C81C7E" w:rsidP="00057011">
            <w:pPr>
              <w:jc w:val="center"/>
              <w:rPr>
                <w:color w:val="000000"/>
                <w:sz w:val="20"/>
                <w:szCs w:val="20"/>
              </w:rPr>
            </w:pPr>
            <w:r w:rsidRPr="00057011">
              <w:rPr>
                <w:color w:val="000000"/>
                <w:sz w:val="20"/>
                <w:szCs w:val="20"/>
              </w:rPr>
              <w:t>7.9190</w:t>
            </w:r>
          </w:p>
        </w:tc>
        <w:tc>
          <w:tcPr>
            <w:tcW w:w="1293" w:type="dxa"/>
            <w:tcBorders>
              <w:top w:val="single" w:sz="4" w:space="0" w:color="auto"/>
              <w:left w:val="nil"/>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KW = 15.3368</w:t>
            </w:r>
          </w:p>
        </w:tc>
        <w:tc>
          <w:tcPr>
            <w:tcW w:w="1436" w:type="dxa"/>
            <w:tcBorders>
              <w:top w:val="single" w:sz="4" w:space="0" w:color="auto"/>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KW =</w:t>
            </w:r>
          </w:p>
          <w:p w:rsidR="00C81C7E" w:rsidRPr="00057011" w:rsidRDefault="00C81C7E" w:rsidP="00057011">
            <w:pPr>
              <w:jc w:val="center"/>
              <w:rPr>
                <w:color w:val="000000"/>
                <w:sz w:val="20"/>
                <w:szCs w:val="20"/>
              </w:rPr>
            </w:pPr>
            <w:r w:rsidRPr="00057011">
              <w:rPr>
                <w:color w:val="000000"/>
                <w:sz w:val="20"/>
                <w:szCs w:val="20"/>
              </w:rPr>
              <w:t>5.8266</w:t>
            </w:r>
          </w:p>
        </w:tc>
        <w:tc>
          <w:tcPr>
            <w:tcW w:w="1453" w:type="dxa"/>
            <w:tcBorders>
              <w:top w:val="single" w:sz="4" w:space="0" w:color="auto"/>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KW =</w:t>
            </w:r>
          </w:p>
          <w:p w:rsidR="00C81C7E" w:rsidRPr="00057011" w:rsidRDefault="00C81C7E" w:rsidP="00057011">
            <w:pPr>
              <w:jc w:val="center"/>
              <w:rPr>
                <w:color w:val="000000"/>
                <w:sz w:val="20"/>
                <w:szCs w:val="20"/>
              </w:rPr>
            </w:pPr>
            <w:r w:rsidRPr="00057011">
              <w:rPr>
                <w:color w:val="000000"/>
                <w:sz w:val="20"/>
                <w:szCs w:val="20"/>
              </w:rPr>
              <w:t>3.3365</w:t>
            </w:r>
          </w:p>
        </w:tc>
        <w:tc>
          <w:tcPr>
            <w:tcW w:w="1436" w:type="dxa"/>
            <w:tcBorders>
              <w:top w:val="single" w:sz="4" w:space="0" w:color="auto"/>
              <w:bottom w:val="single" w:sz="8" w:space="0" w:color="auto"/>
            </w:tcBorders>
            <w:shd w:val="clear" w:color="auto" w:fill="auto"/>
            <w:noWrap/>
            <w:vAlign w:val="center"/>
            <w:hideMark/>
          </w:tcPr>
          <w:p w:rsidR="00C81C7E" w:rsidRPr="00057011" w:rsidRDefault="00C81C7E" w:rsidP="00057011">
            <w:pPr>
              <w:jc w:val="center"/>
              <w:rPr>
                <w:color w:val="000000"/>
                <w:sz w:val="20"/>
                <w:szCs w:val="20"/>
              </w:rPr>
            </w:pPr>
            <w:r w:rsidRPr="00057011">
              <w:rPr>
                <w:color w:val="000000"/>
                <w:sz w:val="20"/>
                <w:szCs w:val="20"/>
              </w:rPr>
              <w:t>KW =</w:t>
            </w:r>
          </w:p>
          <w:p w:rsidR="00C81C7E" w:rsidRPr="00057011" w:rsidRDefault="00C81C7E" w:rsidP="00057011">
            <w:pPr>
              <w:jc w:val="center"/>
              <w:rPr>
                <w:color w:val="000000"/>
                <w:sz w:val="20"/>
                <w:szCs w:val="20"/>
              </w:rPr>
            </w:pPr>
            <w:r w:rsidRPr="00057011">
              <w:rPr>
                <w:color w:val="000000"/>
                <w:sz w:val="20"/>
                <w:szCs w:val="20"/>
              </w:rPr>
              <w:t>11.2109</w:t>
            </w:r>
          </w:p>
        </w:tc>
      </w:tr>
    </w:tbl>
    <w:p w:rsidR="00A10454" w:rsidRDefault="00A10454" w:rsidP="00C81C7E">
      <w:pPr>
        <w:spacing w:line="276" w:lineRule="auto"/>
        <w:sectPr w:rsidR="00A10454" w:rsidSect="00057011">
          <w:type w:val="continuous"/>
          <w:pgSz w:w="11907" w:h="16839" w:code="9"/>
          <w:pgMar w:top="1699" w:right="1282" w:bottom="1282" w:left="1699" w:header="720" w:footer="720" w:gutter="0"/>
          <w:cols w:space="264"/>
          <w:docGrid w:linePitch="360"/>
        </w:sectPr>
      </w:pPr>
    </w:p>
    <w:p w:rsidR="00C81C7E" w:rsidRDefault="00C81C7E" w:rsidP="00C81C7E">
      <w:pPr>
        <w:spacing w:line="276" w:lineRule="auto"/>
      </w:pPr>
    </w:p>
    <w:p w:rsidR="00C81C7E" w:rsidRPr="00057011" w:rsidRDefault="00C81C7E" w:rsidP="00C81C7E">
      <w:pPr>
        <w:spacing w:line="276" w:lineRule="auto"/>
        <w:rPr>
          <w:b/>
        </w:rPr>
      </w:pPr>
      <w:r w:rsidRPr="00057011">
        <w:rPr>
          <w:b/>
        </w:rPr>
        <w:t xml:space="preserve"> Warna</w:t>
      </w:r>
    </w:p>
    <w:p w:rsidR="002979D0" w:rsidRDefault="002979D0" w:rsidP="002979D0">
      <w:pPr>
        <w:spacing w:line="276" w:lineRule="auto"/>
        <w:ind w:firstLine="720"/>
        <w:jc w:val="both"/>
      </w:pPr>
      <w:r>
        <w:t>Berdasarkan uji hedonik kue bingke ubi ungu dengan substitusi tepung terigu dan ubi ungu kukus diperoleh rata-rata nilai terhadap warna antara 3,33 sampai 3,87 yang bekisar pada agak suka sampai dengan suka. Warna merupakan visualisasi suatu produk yang langsung dapat mempengaruhi persepsi panelis. Penilaian terhadap warna yang ditangkap akan tampil lebih dahulu oleh indra penglihatan dan  seringkali digunakan untuk  menentukan nilai suatu produk (Winarno, 2012). Hasil analisis menunjukan bahwa dengan penambahan berbagi kosentrasi ubi ungu kukus tidak berpengaruh nyata terhadap tingkat kesukaan warna kue bingke KW&lt;X</w:t>
      </w:r>
      <w:r>
        <w:rPr>
          <w:vertAlign w:val="superscript"/>
        </w:rPr>
        <w:t>2</w:t>
      </w:r>
      <w:r>
        <w:t>.</w:t>
      </w:r>
    </w:p>
    <w:p w:rsidR="004E5F72" w:rsidRPr="00671D88" w:rsidRDefault="004E5F72" w:rsidP="004E5F72">
      <w:pPr>
        <w:spacing w:line="276" w:lineRule="auto"/>
        <w:ind w:firstLine="720"/>
        <w:jc w:val="both"/>
      </w:pPr>
      <w:r>
        <w:t>Berdasarkan hasil pada tabel 4, nilai rata-rata tertinggi terdapat pada perlakuan 50g ubi ungu kukus : 0g tepung terigu mendapatkan nilai 3,87 (agak suka sampai dengan suka) sedangkan nilai rata-rata terendah terdapat pada perlakuan 20g ubi ungu : 30g tepung terigu mendapatkan nilai 3,33 (agak suka sampai dengan suka). Diduga semakin tinggi</w:t>
      </w:r>
      <w:r w:rsidRPr="00671D88">
        <w:t xml:space="preserve"> kosentrasi ubi ungu kukus maka warna kue bingke</w:t>
      </w:r>
      <w:r>
        <w:t xml:space="preserve"> semakin ungu, sehingga panelis lebih tertarik dan menyukainya.</w:t>
      </w:r>
    </w:p>
    <w:p w:rsidR="002979D0" w:rsidRDefault="002979D0" w:rsidP="002858DB">
      <w:pPr>
        <w:spacing w:after="240" w:line="276" w:lineRule="auto"/>
        <w:jc w:val="both"/>
      </w:pPr>
    </w:p>
    <w:p w:rsidR="00092E48" w:rsidRDefault="00092E48" w:rsidP="00546B8F">
      <w:pPr>
        <w:spacing w:line="276" w:lineRule="auto"/>
        <w:jc w:val="both"/>
        <w:rPr>
          <w:b/>
        </w:rPr>
      </w:pPr>
    </w:p>
    <w:p w:rsidR="001E7CE4" w:rsidRDefault="001E7CE4" w:rsidP="00546B8F">
      <w:pPr>
        <w:spacing w:line="276" w:lineRule="auto"/>
        <w:jc w:val="both"/>
        <w:rPr>
          <w:b/>
        </w:rPr>
      </w:pPr>
    </w:p>
    <w:p w:rsidR="00C81C7E" w:rsidRPr="00057011" w:rsidRDefault="00C81C7E" w:rsidP="00546B8F">
      <w:pPr>
        <w:spacing w:line="276" w:lineRule="auto"/>
        <w:jc w:val="both"/>
        <w:rPr>
          <w:b/>
        </w:rPr>
      </w:pPr>
      <w:r w:rsidRPr="00057011">
        <w:rPr>
          <w:b/>
        </w:rPr>
        <w:t>Cita Rasa</w:t>
      </w:r>
    </w:p>
    <w:p w:rsidR="00546B8F" w:rsidRDefault="00546B8F" w:rsidP="00546B8F">
      <w:pPr>
        <w:spacing w:line="276" w:lineRule="auto"/>
        <w:ind w:firstLine="720"/>
        <w:jc w:val="both"/>
      </w:pPr>
      <w:r>
        <w:t>B</w:t>
      </w:r>
      <w:r w:rsidRPr="000A4F15">
        <w:t>erdasarkan uji hedonik kue bingke ubi ungu dengan substitusi tepung terigu</w:t>
      </w:r>
      <w:r>
        <w:t xml:space="preserve"> dan ubi ungu kukus diperoleh rata-rata nilai terhadap cita rasa antara 3,47 sampai 4,10 yang bekisaran agak suka sampai dengan suka. Rasa merupakan salah satu faktor yang mempengaruhi penerimaan seseorang terhadap suatu makanan (Winarno,2012).</w:t>
      </w:r>
      <w:r w:rsidRPr="006D586E">
        <w:t xml:space="preserve"> </w:t>
      </w:r>
      <w:r>
        <w:t>Hasil analisis pada Tabel 4 menunjukan bahwa dengan penambahan berbagai kosentrasi ubi unggu kukus memberikan pengaruh nyata terhadap cita rasa kue bingke yang mempunyai KW&gt;X</w:t>
      </w:r>
      <w:r>
        <w:rPr>
          <w:vertAlign w:val="superscript"/>
        </w:rPr>
        <w:t>2</w:t>
      </w:r>
      <w:r>
        <w:t>. Artinya perlakuan pada pembuatan kue bingke ubi ungu berpengaruh terhadap cita rasa bingke.  Tabel 4 menunjukan  nilai rata-rata tertinggi terdapat pada perlakuan 50g ubi ungu : 0g tepung terigu mendapatkan nilai 4,10 (suka sampai dengan sangat suka),</w:t>
      </w:r>
      <w:r w:rsidRPr="00E13A61">
        <w:t xml:space="preserve"> </w:t>
      </w:r>
      <w:r>
        <w:t xml:space="preserve">Perlakuan </w:t>
      </w:r>
    </w:p>
    <w:p w:rsidR="00546B8F" w:rsidRDefault="00546B8F" w:rsidP="002858DB">
      <w:pPr>
        <w:spacing w:after="240" w:line="276" w:lineRule="auto"/>
        <w:jc w:val="both"/>
      </w:pPr>
      <w:r>
        <w:t xml:space="preserve">bingke tanpa tepung terigu, menghasilkan bingke dengan cita rasa khas ubi ungu yang dominan dibandingkan dengan perlakuan  lain. Penerimaan panelis terhadap kue bingke berbahan dasar 100% ubi ungu tanpa penambahan tepung terigu cukup baik, sehingga mendapatkan nilai rata-rata tertinggi. Sedangkan nilai rata-rata terendah terdapat pada perlakuan  40g ubi ungu : 10g tepung terigu dan 20g ubi ungu : 30g tepung </w:t>
      </w:r>
      <w:r>
        <w:lastRenderedPageBreak/>
        <w:t xml:space="preserve">terigu dengan nilai 3,47 (agak suka sampai dengan suka). </w:t>
      </w:r>
    </w:p>
    <w:p w:rsidR="00C81C7E" w:rsidRDefault="00C81C7E" w:rsidP="00D860BB">
      <w:pPr>
        <w:spacing w:line="276" w:lineRule="auto"/>
        <w:jc w:val="both"/>
        <w:rPr>
          <w:b/>
        </w:rPr>
      </w:pPr>
      <w:r w:rsidRPr="00617803">
        <w:rPr>
          <w:b/>
        </w:rPr>
        <w:t>Kemanisan</w:t>
      </w:r>
    </w:p>
    <w:p w:rsidR="00D860BB" w:rsidRDefault="00DE41DF" w:rsidP="00DE41DF">
      <w:pPr>
        <w:spacing w:after="240" w:line="276" w:lineRule="auto"/>
        <w:ind w:firstLine="720"/>
        <w:jc w:val="both"/>
      </w:pPr>
      <w:r>
        <w:t xml:space="preserve">Bedasarkan pada tabel 4 menunjukan bahwa nilai Chi lebih besar dari KW uji kesukaan terhadap kemanisan yaitu 11,0705. Hal ini menunjukan bahwa  perlakuan bepengaruh tidak nyata terhadap tingkat kemanisan. </w:t>
      </w:r>
      <w:r w:rsidR="00D860BB">
        <w:t>B</w:t>
      </w:r>
      <w:r w:rsidR="00D860BB" w:rsidRPr="000A4F15">
        <w:t>erdasarkan uji hedonik kue bingke ubi ungu dengan substitusi tepung terigu</w:t>
      </w:r>
      <w:r w:rsidR="00D860BB">
        <w:t xml:space="preserve"> dan ubi ungu kukus diperoleh rata-rata nilai tingkat kemanisan antara 3,60 sampai 3,97 yang bekisaran agak suka sampai dengan suka. </w:t>
      </w:r>
      <w:r w:rsidR="00D860BB" w:rsidRPr="00DE41DF">
        <w:t>Tabel 4 menunjukan</w:t>
      </w:r>
      <w:r w:rsidR="00D860BB">
        <w:t xml:space="preserve"> nilai</w:t>
      </w:r>
      <w:r w:rsidR="008020DC">
        <w:t xml:space="preserve"> rata-rata tertinggi terdapat pada perlakuan 50g ubi ungu : 0g tepung terigu mendapatkan nilai 3,97</w:t>
      </w:r>
      <w:r>
        <w:t xml:space="preserve"> (agak suka sampai dengan suka) sedangkan nilai rata-rata terendah terdapat pada perlakuan  20g ubi ungu : 30g tepung terigu mendapatkan nilai 3,60 (agak suka sampai dengan suka) hal ini dikarenakan tidak ada perbedaan perlakuan pada penggunaan gula. Gula sebagai bahan pemanis pada pembuatan kue bingke dan konsentrasi bahan pemanis ditiap-tiap perlakuan semua sama sehingga tidak memberikan pengaruh nyata pada seluruh perlakuan.</w:t>
      </w:r>
    </w:p>
    <w:p w:rsidR="00C81C7E" w:rsidRPr="00057011" w:rsidRDefault="00C81C7E" w:rsidP="00D860BB">
      <w:pPr>
        <w:spacing w:line="276" w:lineRule="auto"/>
        <w:jc w:val="both"/>
        <w:rPr>
          <w:b/>
        </w:rPr>
      </w:pPr>
      <w:r w:rsidRPr="00057011">
        <w:rPr>
          <w:b/>
        </w:rPr>
        <w:t>Tekstur</w:t>
      </w:r>
    </w:p>
    <w:p w:rsidR="00D860BB" w:rsidRDefault="00D860BB" w:rsidP="0093099F">
      <w:pPr>
        <w:spacing w:after="240" w:line="276" w:lineRule="auto"/>
        <w:ind w:firstLine="720"/>
        <w:jc w:val="both"/>
        <w:rPr>
          <w:bCs/>
        </w:rPr>
      </w:pPr>
      <w:r>
        <w:t>Berdasarkan uji sensori</w:t>
      </w:r>
      <w:r w:rsidRPr="000A4F15">
        <w:t xml:space="preserve"> kue bingke dengan substitusi tepung terigu</w:t>
      </w:r>
      <w:r>
        <w:t xml:space="preserve"> dan ubi ungu kukus diperoleh rata-rata nilai terhadap tekstur antara 3,57 sampai 3,87 yang bekisaran agak suka sampai dengan suka. Tekstur merupakan faktor yang mempengaruhi tingkat kesukaan panelis terhadap suatu produk. Tabel 4 menunjukan nilai rata-rata tertinggi terdapat pada perlakuan 0g ubi ungu : 50g tepung terigu dan 50g ubi ungu : 0g tepung terigu mendapatkan nilai 3,87 (agak suka sampai dengan suka) sedangkan nilai rata-rata </w:t>
      </w:r>
      <w:r>
        <w:lastRenderedPageBreak/>
        <w:t xml:space="preserve">terendah terdapat pada perlakuan 10g ubi ungu : 40g tepung terigu mendapatkan nilai 3,57 (agak suka sampai dengan suka). Bingke dengan bahan dasar ubi ungu 100% bertekstur lebih lembut, dikarenakan ubi ungu kukus memiliki kadar air yang tinggi dari pada tepung terigu. Hasil analisis pada Tabel 4 </w:t>
      </w:r>
      <w:r>
        <w:rPr>
          <w:bCs/>
        </w:rPr>
        <w:t>menunjukan tidak adanya perbedaan substitusi antar ubi ungu kukus dengan tepung yang terigu terhadap tekstur kue bingke yang mempunyai KW&lt;X</w:t>
      </w:r>
      <w:r>
        <w:rPr>
          <w:bCs/>
          <w:vertAlign w:val="superscript"/>
        </w:rPr>
        <w:t xml:space="preserve">2 </w:t>
      </w:r>
      <w:r>
        <w:rPr>
          <w:bCs/>
        </w:rPr>
        <w:t xml:space="preserve">sehingga substitusi tepung terigu tidak memberikan </w:t>
      </w:r>
      <w:r w:rsidRPr="005925DD">
        <w:rPr>
          <w:bCs/>
        </w:rPr>
        <w:t>p</w:t>
      </w:r>
      <w:r>
        <w:rPr>
          <w:bCs/>
        </w:rPr>
        <w:t>engaruh nyata.</w:t>
      </w:r>
    </w:p>
    <w:p w:rsidR="00C81C7E" w:rsidRPr="00617803" w:rsidRDefault="00617803" w:rsidP="00C81C7E">
      <w:pPr>
        <w:spacing w:line="276" w:lineRule="auto"/>
        <w:jc w:val="both"/>
        <w:rPr>
          <w:b/>
          <w:bCs/>
        </w:rPr>
      </w:pPr>
      <w:r>
        <w:rPr>
          <w:b/>
          <w:bCs/>
        </w:rPr>
        <w:t>K</w:t>
      </w:r>
      <w:r w:rsidR="00C81C7E" w:rsidRPr="00617803">
        <w:rPr>
          <w:b/>
          <w:bCs/>
        </w:rPr>
        <w:t>esukaan</w:t>
      </w:r>
    </w:p>
    <w:p w:rsidR="0093099F" w:rsidRPr="000A057F" w:rsidRDefault="0093099F" w:rsidP="0093099F">
      <w:pPr>
        <w:spacing w:line="276" w:lineRule="auto"/>
        <w:ind w:firstLine="720"/>
        <w:jc w:val="both"/>
      </w:pPr>
      <w:bookmarkStart w:id="10" w:name="_Hlk508063206"/>
      <w:r w:rsidRPr="000A057F">
        <w:t>Berdasarkan uji hedonik kue bingke ubi ungu dengan substitusi tepung terigu dan ubi ungu kukus diperoleh rata-rata nilai terhadap kesukaan pada semua perlakuan kue bingke antara 3,60 sampai 4,17 yang bekisaran  agak suka sampai dengan sangat suka. Nursalim dan Razali (2007), kesukaan seseorang terhadap suatu produk dipengaruhi oleh beberapa faktor antara lain : (1) warna, rasa dan penampilan yang menarik (sensori); (2) bernilai gizi tinggi dan (3) menguntungkan bagi tubuh konsumen.</w:t>
      </w:r>
      <w:bookmarkEnd w:id="10"/>
      <w:r w:rsidRPr="000A057F">
        <w:t xml:space="preserve"> </w:t>
      </w:r>
      <w:r>
        <w:t>Hasil analisis pada Tabel 4</w:t>
      </w:r>
      <w:r w:rsidRPr="000A057F">
        <w:t xml:space="preserve"> menunjukan bahwa dengan substitusi ubi ungu kukus memberikan pengaruh nyata terhadap kesukaan panelis pada kue bingke yang mempunyai KW&gt;X</w:t>
      </w:r>
      <w:r w:rsidRPr="000A057F">
        <w:rPr>
          <w:vertAlign w:val="superscript"/>
        </w:rPr>
        <w:t xml:space="preserve">2 </w:t>
      </w:r>
      <w:r w:rsidRPr="000A057F">
        <w:t>.</w:t>
      </w:r>
    </w:p>
    <w:p w:rsidR="0093099F" w:rsidRPr="000A057F" w:rsidRDefault="00491704" w:rsidP="0093099F">
      <w:pPr>
        <w:spacing w:after="240" w:line="276" w:lineRule="auto"/>
        <w:ind w:firstLine="720"/>
        <w:jc w:val="both"/>
      </w:pPr>
      <w:r>
        <w:t>T</w:t>
      </w:r>
      <w:r w:rsidR="0093099F">
        <w:t>abel 4</w:t>
      </w:r>
      <w:r w:rsidR="009E7A0C">
        <w:t xml:space="preserve"> menunjukan</w:t>
      </w:r>
      <w:r w:rsidR="0093099F" w:rsidRPr="000A057F">
        <w:t xml:space="preserve"> nilai rata-rata kesukaan tertinggi terdapat pada perlakuan 0g tepung terigu  : 50g ubi ungu kukus mendapatkan  skor rata-rata 4,17 (suka sampai dengan sangat suka), sedangkan nilai rata-rata terendah pada perlakuan perlakuan 20g ubi ungu : 30g tepung terigu mendapatkan skor rata-rata 3.60 dan perlakuan 40g ubi ungu : 10g tepung terigu mendapatkan skor rata-rata 3,60 (agak suka sampai dengan suka). Diduga perlakuan 0g tepung terigu  : 50g ubi ungu kukus </w:t>
      </w:r>
      <w:r w:rsidR="0093099F" w:rsidRPr="000A057F">
        <w:lastRenderedPageBreak/>
        <w:t xml:space="preserve">memiliki nilai tertinggi dikarenakan penambahan ubi ungu yang lebih banyak sehingga menghasil warna, cita rasa, tingkat kemanisan dan tesktur yang paling disukai oleh panelis. </w:t>
      </w:r>
    </w:p>
    <w:p w:rsidR="00C81C7E" w:rsidRPr="007E5306" w:rsidRDefault="00C81C7E" w:rsidP="00C81C7E">
      <w:pPr>
        <w:spacing w:line="276" w:lineRule="auto"/>
        <w:rPr>
          <w:b/>
        </w:rPr>
      </w:pPr>
      <w:r w:rsidRPr="007E5306">
        <w:rPr>
          <w:b/>
          <w:lang w:val="id-ID"/>
        </w:rPr>
        <w:t>Penentuan Perlakuan Terbaik dengan Uji Indeks Efektivitas</w:t>
      </w:r>
    </w:p>
    <w:p w:rsidR="00057011" w:rsidRPr="00057011" w:rsidRDefault="00C81C7E" w:rsidP="007D6106">
      <w:pPr>
        <w:spacing w:after="240" w:line="276" w:lineRule="auto"/>
        <w:ind w:firstLine="720"/>
        <w:jc w:val="both"/>
      </w:pPr>
      <w:r>
        <w:rPr>
          <w:lang w:val="id-ID"/>
        </w:rPr>
        <w:t xml:space="preserve">Analisis perlakuan terbaik dengan uji indeks efektivitas dilakukan berdasarkan karakteristik kimia dan uji </w:t>
      </w:r>
      <w:r>
        <w:t>organoleptik kue bingke ubi ungu</w:t>
      </w:r>
      <w:r>
        <w:rPr>
          <w:lang w:val="id-ID"/>
        </w:rPr>
        <w:t xml:space="preserve">  (De Garmo</w:t>
      </w:r>
      <w:r>
        <w:t xml:space="preserve"> </w:t>
      </w:r>
      <w:r w:rsidRPr="00F97CAA">
        <w:rPr>
          <w:i/>
        </w:rPr>
        <w:t>et al</w:t>
      </w:r>
      <w:r>
        <w:t>.,1984</w:t>
      </w:r>
      <w:r>
        <w:rPr>
          <w:lang w:val="id-ID"/>
        </w:rPr>
        <w:t>). Perlakuan terbaik ditunjukkan dengan nilai perlakuan (NP) tertinggi disajikan pada Tabel</w:t>
      </w:r>
      <w:r w:rsidR="00617803">
        <w:t xml:space="preserve"> 5</w:t>
      </w:r>
      <w:r>
        <w:rPr>
          <w:lang w:val="id-ID"/>
        </w:rPr>
        <w:t>.</w:t>
      </w:r>
    </w:p>
    <w:p w:rsidR="007A16E7" w:rsidRPr="00056689" w:rsidRDefault="00617803" w:rsidP="00C81C7E">
      <w:pPr>
        <w:spacing w:line="276" w:lineRule="auto"/>
        <w:jc w:val="both"/>
      </w:pPr>
      <w:r>
        <w:t>Tabel 5</w:t>
      </w:r>
      <w:r w:rsidR="00C81C7E" w:rsidRPr="00056689">
        <w:t>.</w:t>
      </w:r>
      <w:r w:rsidR="00C81C7E">
        <w:t xml:space="preserve"> </w:t>
      </w:r>
      <w:r w:rsidR="00C81C7E" w:rsidRPr="00056689">
        <w:rPr>
          <w:lang w:val="id-ID"/>
        </w:rPr>
        <w:t>Nilai Perlakuan (NP)</w:t>
      </w:r>
      <w:r w:rsidR="00C81C7E">
        <w:t xml:space="preserve"> bingke ubi ungu dengan substitusi ubi ungu kukus.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101"/>
        <w:gridCol w:w="1842"/>
        <w:gridCol w:w="1604"/>
      </w:tblGrid>
      <w:tr w:rsidR="007A16E7" w:rsidTr="00C53087">
        <w:tc>
          <w:tcPr>
            <w:tcW w:w="1101" w:type="dxa"/>
            <w:tcBorders>
              <w:top w:val="single" w:sz="4" w:space="0" w:color="auto"/>
              <w:bottom w:val="single" w:sz="4" w:space="0" w:color="auto"/>
            </w:tcBorders>
          </w:tcPr>
          <w:p w:rsidR="007A16E7" w:rsidRDefault="007A16E7" w:rsidP="007A16E7">
            <w:pPr>
              <w:spacing w:line="276" w:lineRule="auto"/>
              <w:jc w:val="center"/>
            </w:pPr>
            <w:r>
              <w:t>Ubi Ungu</w:t>
            </w:r>
            <w:r w:rsidR="00C53087">
              <w:t xml:space="preserve">  </w:t>
            </w:r>
          </w:p>
        </w:tc>
        <w:tc>
          <w:tcPr>
            <w:tcW w:w="1842" w:type="dxa"/>
            <w:tcBorders>
              <w:top w:val="single" w:sz="4" w:space="0" w:color="auto"/>
              <w:bottom w:val="single" w:sz="4" w:space="0" w:color="auto"/>
            </w:tcBorders>
          </w:tcPr>
          <w:p w:rsidR="007A16E7" w:rsidRDefault="007A16E7" w:rsidP="007A16E7">
            <w:pPr>
              <w:spacing w:line="276" w:lineRule="auto"/>
              <w:jc w:val="center"/>
            </w:pPr>
            <w:r>
              <w:t>Tepung Terigu</w:t>
            </w:r>
            <w:r w:rsidR="00C53087">
              <w:t xml:space="preserve"> (g)</w:t>
            </w:r>
          </w:p>
        </w:tc>
        <w:tc>
          <w:tcPr>
            <w:tcW w:w="1604" w:type="dxa"/>
            <w:tcBorders>
              <w:top w:val="single" w:sz="4" w:space="0" w:color="auto"/>
              <w:bottom w:val="single" w:sz="4" w:space="0" w:color="auto"/>
            </w:tcBorders>
          </w:tcPr>
          <w:p w:rsidR="007A16E7" w:rsidRDefault="007A16E7" w:rsidP="007A16E7">
            <w:pPr>
              <w:spacing w:line="276" w:lineRule="auto"/>
              <w:jc w:val="center"/>
            </w:pPr>
            <w:r w:rsidRPr="00D46694">
              <w:rPr>
                <w:color w:val="000000"/>
              </w:rPr>
              <w:t>Nilai Perlakuan</w:t>
            </w:r>
          </w:p>
        </w:tc>
      </w:tr>
      <w:tr w:rsidR="007A16E7" w:rsidTr="00C53087">
        <w:tc>
          <w:tcPr>
            <w:tcW w:w="1101" w:type="dxa"/>
            <w:tcBorders>
              <w:top w:val="single" w:sz="4" w:space="0" w:color="auto"/>
            </w:tcBorders>
          </w:tcPr>
          <w:p w:rsidR="007A16E7" w:rsidRDefault="007A16E7" w:rsidP="007A16E7">
            <w:pPr>
              <w:spacing w:line="276" w:lineRule="auto"/>
              <w:jc w:val="center"/>
            </w:pPr>
            <w:r>
              <w:t>0</w:t>
            </w:r>
          </w:p>
        </w:tc>
        <w:tc>
          <w:tcPr>
            <w:tcW w:w="1842" w:type="dxa"/>
            <w:tcBorders>
              <w:top w:val="single" w:sz="4" w:space="0" w:color="auto"/>
            </w:tcBorders>
          </w:tcPr>
          <w:p w:rsidR="007A16E7" w:rsidRDefault="007A16E7" w:rsidP="007A16E7">
            <w:pPr>
              <w:spacing w:line="276" w:lineRule="auto"/>
              <w:jc w:val="center"/>
            </w:pPr>
            <w:r>
              <w:t>50</w:t>
            </w:r>
          </w:p>
        </w:tc>
        <w:tc>
          <w:tcPr>
            <w:tcW w:w="1604" w:type="dxa"/>
            <w:tcBorders>
              <w:top w:val="single" w:sz="4" w:space="0" w:color="auto"/>
            </w:tcBorders>
            <w:vAlign w:val="bottom"/>
          </w:tcPr>
          <w:p w:rsidR="007A16E7" w:rsidRPr="00D46694" w:rsidRDefault="007A16E7" w:rsidP="007A16E7">
            <w:pPr>
              <w:jc w:val="center"/>
              <w:rPr>
                <w:color w:val="000000"/>
              </w:rPr>
            </w:pPr>
            <w:r>
              <w:rPr>
                <w:color w:val="000000"/>
              </w:rPr>
              <w:t>0,</w:t>
            </w:r>
            <w:r w:rsidRPr="00D46694">
              <w:rPr>
                <w:color w:val="000000"/>
              </w:rPr>
              <w:t>75</w:t>
            </w:r>
          </w:p>
        </w:tc>
      </w:tr>
      <w:tr w:rsidR="007A16E7" w:rsidTr="00C53087">
        <w:tc>
          <w:tcPr>
            <w:tcW w:w="1101" w:type="dxa"/>
          </w:tcPr>
          <w:p w:rsidR="007A16E7" w:rsidRDefault="007A16E7" w:rsidP="007A16E7">
            <w:pPr>
              <w:spacing w:line="276" w:lineRule="auto"/>
              <w:jc w:val="center"/>
            </w:pPr>
            <w:r>
              <w:t>10</w:t>
            </w:r>
          </w:p>
        </w:tc>
        <w:tc>
          <w:tcPr>
            <w:tcW w:w="1842" w:type="dxa"/>
          </w:tcPr>
          <w:p w:rsidR="007A16E7" w:rsidRDefault="007A16E7" w:rsidP="007A16E7">
            <w:pPr>
              <w:spacing w:line="276" w:lineRule="auto"/>
              <w:jc w:val="center"/>
            </w:pPr>
            <w:r>
              <w:t>40</w:t>
            </w:r>
          </w:p>
        </w:tc>
        <w:tc>
          <w:tcPr>
            <w:tcW w:w="1604" w:type="dxa"/>
            <w:vAlign w:val="bottom"/>
          </w:tcPr>
          <w:p w:rsidR="007A16E7" w:rsidRPr="00D46694" w:rsidRDefault="007A16E7" w:rsidP="007A16E7">
            <w:pPr>
              <w:jc w:val="center"/>
              <w:rPr>
                <w:color w:val="000000"/>
              </w:rPr>
            </w:pPr>
            <w:r>
              <w:rPr>
                <w:color w:val="000000"/>
              </w:rPr>
              <w:t>0,</w:t>
            </w:r>
            <w:r w:rsidRPr="00D46694">
              <w:rPr>
                <w:color w:val="000000"/>
              </w:rPr>
              <w:t>28</w:t>
            </w:r>
          </w:p>
        </w:tc>
      </w:tr>
      <w:tr w:rsidR="007A16E7" w:rsidTr="00C53087">
        <w:tc>
          <w:tcPr>
            <w:tcW w:w="1101" w:type="dxa"/>
          </w:tcPr>
          <w:p w:rsidR="007A16E7" w:rsidRDefault="007A16E7" w:rsidP="007A16E7">
            <w:pPr>
              <w:spacing w:line="276" w:lineRule="auto"/>
              <w:jc w:val="center"/>
            </w:pPr>
            <w:r>
              <w:t>20</w:t>
            </w:r>
          </w:p>
        </w:tc>
        <w:tc>
          <w:tcPr>
            <w:tcW w:w="1842" w:type="dxa"/>
          </w:tcPr>
          <w:p w:rsidR="007A16E7" w:rsidRDefault="007A16E7" w:rsidP="007A16E7">
            <w:pPr>
              <w:spacing w:line="276" w:lineRule="auto"/>
              <w:jc w:val="center"/>
            </w:pPr>
            <w:r>
              <w:t>30</w:t>
            </w:r>
          </w:p>
        </w:tc>
        <w:tc>
          <w:tcPr>
            <w:tcW w:w="1604" w:type="dxa"/>
            <w:vAlign w:val="bottom"/>
          </w:tcPr>
          <w:p w:rsidR="007A16E7" w:rsidRPr="00D46694" w:rsidRDefault="007A16E7" w:rsidP="007A16E7">
            <w:pPr>
              <w:jc w:val="center"/>
              <w:rPr>
                <w:color w:val="000000"/>
              </w:rPr>
            </w:pPr>
            <w:r>
              <w:rPr>
                <w:color w:val="000000"/>
              </w:rPr>
              <w:t>0,</w:t>
            </w:r>
            <w:r w:rsidRPr="00D46694">
              <w:rPr>
                <w:color w:val="000000"/>
              </w:rPr>
              <w:t>21</w:t>
            </w:r>
          </w:p>
        </w:tc>
      </w:tr>
      <w:tr w:rsidR="007A16E7" w:rsidTr="00C53087">
        <w:tc>
          <w:tcPr>
            <w:tcW w:w="1101" w:type="dxa"/>
          </w:tcPr>
          <w:p w:rsidR="007A16E7" w:rsidRDefault="007A16E7" w:rsidP="007A16E7">
            <w:pPr>
              <w:spacing w:line="276" w:lineRule="auto"/>
              <w:jc w:val="center"/>
            </w:pPr>
            <w:r>
              <w:t>30</w:t>
            </w:r>
          </w:p>
        </w:tc>
        <w:tc>
          <w:tcPr>
            <w:tcW w:w="1842" w:type="dxa"/>
          </w:tcPr>
          <w:p w:rsidR="007A16E7" w:rsidRDefault="007A16E7" w:rsidP="007A16E7">
            <w:pPr>
              <w:spacing w:line="276" w:lineRule="auto"/>
              <w:jc w:val="center"/>
            </w:pPr>
            <w:r>
              <w:t>20</w:t>
            </w:r>
          </w:p>
        </w:tc>
        <w:tc>
          <w:tcPr>
            <w:tcW w:w="1604" w:type="dxa"/>
            <w:vAlign w:val="bottom"/>
          </w:tcPr>
          <w:p w:rsidR="007A16E7" w:rsidRPr="00D46694" w:rsidRDefault="007A16E7" w:rsidP="007A16E7">
            <w:pPr>
              <w:jc w:val="center"/>
              <w:rPr>
                <w:color w:val="000000"/>
              </w:rPr>
            </w:pPr>
            <w:r>
              <w:rPr>
                <w:color w:val="000000"/>
              </w:rPr>
              <w:t>0,</w:t>
            </w:r>
            <w:r w:rsidRPr="00D46694">
              <w:rPr>
                <w:color w:val="000000"/>
              </w:rPr>
              <w:t>47</w:t>
            </w:r>
          </w:p>
        </w:tc>
      </w:tr>
      <w:tr w:rsidR="007A16E7" w:rsidTr="00C53087">
        <w:tc>
          <w:tcPr>
            <w:tcW w:w="1101" w:type="dxa"/>
          </w:tcPr>
          <w:p w:rsidR="007A16E7" w:rsidRDefault="007A16E7" w:rsidP="007A16E7">
            <w:pPr>
              <w:spacing w:line="276" w:lineRule="auto"/>
              <w:jc w:val="center"/>
            </w:pPr>
            <w:r>
              <w:t>40</w:t>
            </w:r>
          </w:p>
        </w:tc>
        <w:tc>
          <w:tcPr>
            <w:tcW w:w="1842" w:type="dxa"/>
          </w:tcPr>
          <w:p w:rsidR="007A16E7" w:rsidRDefault="007A16E7" w:rsidP="007A16E7">
            <w:pPr>
              <w:spacing w:line="276" w:lineRule="auto"/>
              <w:jc w:val="center"/>
            </w:pPr>
            <w:r>
              <w:t>10</w:t>
            </w:r>
          </w:p>
        </w:tc>
        <w:tc>
          <w:tcPr>
            <w:tcW w:w="1604" w:type="dxa"/>
            <w:vAlign w:val="bottom"/>
          </w:tcPr>
          <w:p w:rsidR="007A16E7" w:rsidRPr="00D46694" w:rsidRDefault="007A16E7" w:rsidP="007A16E7">
            <w:pPr>
              <w:jc w:val="center"/>
              <w:rPr>
                <w:color w:val="000000"/>
              </w:rPr>
            </w:pPr>
            <w:r>
              <w:rPr>
                <w:color w:val="000000"/>
              </w:rPr>
              <w:t>0,</w:t>
            </w:r>
            <w:r w:rsidRPr="00D46694">
              <w:rPr>
                <w:color w:val="000000"/>
              </w:rPr>
              <w:t>4</w:t>
            </w:r>
            <w:r>
              <w:rPr>
                <w:color w:val="000000"/>
              </w:rPr>
              <w:t>0</w:t>
            </w:r>
          </w:p>
        </w:tc>
      </w:tr>
      <w:tr w:rsidR="007A16E7" w:rsidTr="00C53087">
        <w:tc>
          <w:tcPr>
            <w:tcW w:w="1101" w:type="dxa"/>
          </w:tcPr>
          <w:p w:rsidR="007A16E7" w:rsidRDefault="007A16E7" w:rsidP="007A16E7">
            <w:pPr>
              <w:spacing w:line="276" w:lineRule="auto"/>
              <w:jc w:val="center"/>
            </w:pPr>
            <w:r>
              <w:t>50</w:t>
            </w:r>
          </w:p>
        </w:tc>
        <w:tc>
          <w:tcPr>
            <w:tcW w:w="1842" w:type="dxa"/>
          </w:tcPr>
          <w:p w:rsidR="007A16E7" w:rsidRDefault="007A16E7" w:rsidP="007A16E7">
            <w:pPr>
              <w:spacing w:line="276" w:lineRule="auto"/>
              <w:jc w:val="center"/>
            </w:pPr>
            <w:r>
              <w:t>0</w:t>
            </w:r>
          </w:p>
        </w:tc>
        <w:tc>
          <w:tcPr>
            <w:tcW w:w="1604" w:type="dxa"/>
            <w:vAlign w:val="bottom"/>
          </w:tcPr>
          <w:p w:rsidR="007A16E7" w:rsidRPr="00D46694" w:rsidRDefault="007A16E7" w:rsidP="007A16E7">
            <w:pPr>
              <w:jc w:val="center"/>
              <w:rPr>
                <w:color w:val="000000"/>
              </w:rPr>
            </w:pPr>
            <w:r>
              <w:rPr>
                <w:color w:val="000000"/>
              </w:rPr>
              <w:t>0,</w:t>
            </w:r>
            <w:r w:rsidRPr="00D46694">
              <w:rPr>
                <w:color w:val="000000"/>
              </w:rPr>
              <w:t>92</w:t>
            </w:r>
          </w:p>
        </w:tc>
      </w:tr>
    </w:tbl>
    <w:p w:rsidR="00C81C7E" w:rsidRPr="00056689" w:rsidRDefault="00C81C7E" w:rsidP="00C81C7E">
      <w:pPr>
        <w:spacing w:line="276" w:lineRule="auto"/>
        <w:jc w:val="both"/>
      </w:pPr>
    </w:p>
    <w:p w:rsidR="004E013C" w:rsidRDefault="00C81C7E" w:rsidP="007D6106">
      <w:pPr>
        <w:spacing w:after="240" w:line="276" w:lineRule="auto"/>
        <w:ind w:firstLine="720"/>
        <w:jc w:val="both"/>
        <w:rPr>
          <w:color w:val="000000"/>
        </w:rPr>
      </w:pPr>
      <w:r>
        <w:rPr>
          <w:lang w:val="id-ID"/>
        </w:rPr>
        <w:t xml:space="preserve">Berdasarkan Tabel </w:t>
      </w:r>
      <w:r w:rsidR="00617803">
        <w:t>5</w:t>
      </w:r>
      <w:r>
        <w:rPr>
          <w:lang w:val="id-ID"/>
        </w:rPr>
        <w:t xml:space="preserve">, perlakuan terbaik terdapat pada perlakuan </w:t>
      </w:r>
      <w:r w:rsidR="008C4F48">
        <w:rPr>
          <w:color w:val="000000"/>
        </w:rPr>
        <w:t>50g ubi ungu dengan 0g tepung terigu,</w:t>
      </w:r>
      <w:r>
        <w:rPr>
          <w:color w:val="000000"/>
          <w:lang w:val="id-ID"/>
        </w:rPr>
        <w:t xml:space="preserve"> sehingga hipotesis yang disajikan diterima. Karakteristik kimia dan uji </w:t>
      </w:r>
      <w:r>
        <w:rPr>
          <w:color w:val="000000"/>
        </w:rPr>
        <w:t>organoleptik bingke ubi ungu,</w:t>
      </w:r>
      <w:r>
        <w:rPr>
          <w:color w:val="000000"/>
          <w:lang w:val="id-ID"/>
        </w:rPr>
        <w:t xml:space="preserve">  perlakuan terbaik yaitu </w:t>
      </w:r>
      <w:r>
        <w:rPr>
          <w:lang w:val="id-ID"/>
        </w:rPr>
        <w:t>perlakuan</w:t>
      </w:r>
      <w:r w:rsidR="008C4F48">
        <w:t xml:space="preserve"> </w:t>
      </w:r>
      <w:r w:rsidR="008C4F48">
        <w:rPr>
          <w:color w:val="000000"/>
        </w:rPr>
        <w:t>50g ubi ungu dengan 0g tepung terigu</w:t>
      </w:r>
      <w:r>
        <w:rPr>
          <w:lang w:val="id-ID"/>
        </w:rPr>
        <w:t xml:space="preserve"> </w:t>
      </w:r>
      <w:r>
        <w:rPr>
          <w:color w:val="000000"/>
          <w:lang w:val="id-ID"/>
        </w:rPr>
        <w:t xml:space="preserve"> disajikan pada Tabel </w:t>
      </w:r>
      <w:r w:rsidR="008D6CC5">
        <w:rPr>
          <w:color w:val="000000"/>
        </w:rPr>
        <w:t>6</w:t>
      </w:r>
    </w:p>
    <w:p w:rsidR="00C81C7E" w:rsidRPr="009C0B3F" w:rsidRDefault="006B4FCA" w:rsidP="007D6106">
      <w:pPr>
        <w:jc w:val="both"/>
        <w:rPr>
          <w:color w:val="000000"/>
        </w:rPr>
      </w:pPr>
      <w:r>
        <w:rPr>
          <w:color w:val="000000"/>
        </w:rPr>
        <w:t xml:space="preserve">Tabel </w:t>
      </w:r>
      <w:r w:rsidR="008D6CC5">
        <w:rPr>
          <w:color w:val="000000"/>
        </w:rPr>
        <w:t>6</w:t>
      </w:r>
      <w:r w:rsidR="00C81C7E">
        <w:rPr>
          <w:color w:val="000000"/>
        </w:rPr>
        <w:t>. Nilai rata-rata Perlakuan Terbaik Kue Bingke Ubi ungu</w:t>
      </w:r>
    </w:p>
    <w:tbl>
      <w:tblPr>
        <w:tblpPr w:leftFromText="180" w:rightFromText="180" w:vertAnchor="text" w:horzAnchor="margin" w:tblpXSpec="right" w:tblpY="282"/>
        <w:tblW w:w="4361" w:type="dxa"/>
        <w:tblLook w:val="04A0"/>
      </w:tblPr>
      <w:tblGrid>
        <w:gridCol w:w="1809"/>
        <w:gridCol w:w="2552"/>
      </w:tblGrid>
      <w:tr w:rsidR="0081798C" w:rsidRPr="008D7E90" w:rsidTr="0081798C">
        <w:trPr>
          <w:trHeight w:val="314"/>
        </w:trPr>
        <w:tc>
          <w:tcPr>
            <w:tcW w:w="1809" w:type="dxa"/>
            <w:tcBorders>
              <w:top w:val="single" w:sz="4" w:space="0" w:color="auto"/>
              <w:left w:val="nil"/>
              <w:bottom w:val="nil"/>
              <w:right w:val="nil"/>
            </w:tcBorders>
            <w:shd w:val="clear" w:color="auto" w:fill="auto"/>
            <w:noWrap/>
            <w:vAlign w:val="bottom"/>
            <w:hideMark/>
          </w:tcPr>
          <w:p w:rsidR="0081798C" w:rsidRPr="008D7E90" w:rsidRDefault="0081798C" w:rsidP="0081798C">
            <w:pPr>
              <w:spacing w:line="276" w:lineRule="auto"/>
              <w:jc w:val="center"/>
              <w:rPr>
                <w:color w:val="000000"/>
              </w:rPr>
            </w:pPr>
            <w:r>
              <w:rPr>
                <w:color w:val="000000"/>
              </w:rPr>
              <w:t>Parameter</w:t>
            </w:r>
          </w:p>
        </w:tc>
        <w:tc>
          <w:tcPr>
            <w:tcW w:w="2552" w:type="dxa"/>
            <w:tcBorders>
              <w:top w:val="single" w:sz="4" w:space="0" w:color="auto"/>
              <w:left w:val="nil"/>
              <w:bottom w:val="nil"/>
              <w:right w:val="nil"/>
            </w:tcBorders>
            <w:shd w:val="clear" w:color="auto" w:fill="auto"/>
            <w:noWrap/>
            <w:vAlign w:val="bottom"/>
          </w:tcPr>
          <w:p w:rsidR="0081798C" w:rsidRPr="002527D4" w:rsidRDefault="0081798C" w:rsidP="0081798C">
            <w:pPr>
              <w:spacing w:line="276" w:lineRule="auto"/>
              <w:jc w:val="center"/>
              <w:rPr>
                <w:color w:val="000000"/>
                <w:lang w:val="id-ID"/>
              </w:rPr>
            </w:pPr>
            <w:r>
              <w:rPr>
                <w:color w:val="000000"/>
                <w:lang w:val="id-ID"/>
              </w:rPr>
              <w:t>Rerata ± SD</w:t>
            </w:r>
          </w:p>
        </w:tc>
      </w:tr>
      <w:tr w:rsidR="0081798C" w:rsidRPr="00C143A4" w:rsidTr="0081798C">
        <w:trPr>
          <w:trHeight w:val="314"/>
        </w:trPr>
        <w:tc>
          <w:tcPr>
            <w:tcW w:w="1809" w:type="dxa"/>
            <w:tcBorders>
              <w:top w:val="single" w:sz="4" w:space="0" w:color="auto"/>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rPr>
              <w:t>Warna</w:t>
            </w:r>
          </w:p>
        </w:tc>
        <w:tc>
          <w:tcPr>
            <w:tcW w:w="2552" w:type="dxa"/>
            <w:tcBorders>
              <w:top w:val="single" w:sz="4" w:space="0" w:color="auto"/>
              <w:left w:val="nil"/>
              <w:bottom w:val="nil"/>
              <w:right w:val="nil"/>
            </w:tcBorders>
            <w:shd w:val="clear" w:color="auto" w:fill="auto"/>
            <w:noWrap/>
            <w:vAlign w:val="bottom"/>
          </w:tcPr>
          <w:p w:rsidR="0081798C" w:rsidRPr="005E73C8" w:rsidRDefault="0081798C" w:rsidP="0081798C">
            <w:pPr>
              <w:spacing w:line="276" w:lineRule="auto"/>
              <w:jc w:val="center"/>
              <w:rPr>
                <w:color w:val="000000"/>
              </w:rPr>
            </w:pPr>
            <w:r>
              <w:rPr>
                <w:color w:val="000000"/>
              </w:rPr>
              <w:t>3,87</w:t>
            </w:r>
            <w:r>
              <w:rPr>
                <w:color w:val="000000"/>
                <w:lang w:val="id-ID"/>
              </w:rPr>
              <w:t>±</w:t>
            </w:r>
            <w:r>
              <w:rPr>
                <w:color w:val="000000"/>
              </w:rPr>
              <w:t>1,14</w:t>
            </w:r>
            <w:r>
              <w:rPr>
                <w:color w:val="000000"/>
                <w:lang w:val="id-ID"/>
              </w:rPr>
              <w:t xml:space="preserve"> </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lang w:val="id-ID"/>
              </w:rPr>
              <w:t>Tekstur</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3,87</w:t>
            </w:r>
            <w:r>
              <w:rPr>
                <w:color w:val="000000"/>
                <w:lang w:val="id-ID"/>
              </w:rPr>
              <w:t>±</w:t>
            </w:r>
            <w:r>
              <w:rPr>
                <w:color w:val="000000"/>
              </w:rPr>
              <w:t>1,11</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rPr>
              <w:t>Rasa</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4,10</w:t>
            </w:r>
            <w:r>
              <w:rPr>
                <w:color w:val="000000"/>
                <w:lang w:val="id-ID"/>
              </w:rPr>
              <w:t xml:space="preserve"> ± 0</w:t>
            </w:r>
            <w:r>
              <w:rPr>
                <w:color w:val="000000"/>
              </w:rPr>
              <w:t>,96</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rPr>
              <w:t>Kemanisan</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3,97</w:t>
            </w:r>
            <w:r>
              <w:rPr>
                <w:color w:val="000000"/>
                <w:lang w:val="id-ID"/>
              </w:rPr>
              <w:t xml:space="preserve">± </w:t>
            </w:r>
            <w:r>
              <w:rPr>
                <w:color w:val="000000"/>
              </w:rPr>
              <w:t>0,93</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rPr>
              <w:t>TPT</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18,18</w:t>
            </w:r>
            <w:r>
              <w:rPr>
                <w:color w:val="000000"/>
                <w:lang w:val="id-ID"/>
              </w:rPr>
              <w:t>±</w:t>
            </w:r>
            <w:r>
              <w:rPr>
                <w:color w:val="000000"/>
              </w:rPr>
              <w:t>1,56</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lang w:val="id-ID"/>
              </w:rPr>
              <w:t>Kadar air</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46,91</w:t>
            </w:r>
            <w:r>
              <w:rPr>
                <w:color w:val="000000"/>
                <w:lang w:val="id-ID"/>
              </w:rPr>
              <w:t>± 0</w:t>
            </w:r>
            <w:r>
              <w:rPr>
                <w:color w:val="000000"/>
              </w:rPr>
              <w:t>,56</w:t>
            </w:r>
          </w:p>
        </w:tc>
      </w:tr>
      <w:tr w:rsidR="0081798C" w:rsidRPr="00C143A4" w:rsidTr="0081798C">
        <w:trPr>
          <w:trHeight w:val="314"/>
        </w:trPr>
        <w:tc>
          <w:tcPr>
            <w:tcW w:w="1809" w:type="dxa"/>
            <w:tcBorders>
              <w:top w:val="nil"/>
              <w:left w:val="nil"/>
              <w:bottom w:val="nil"/>
              <w:right w:val="nil"/>
            </w:tcBorders>
            <w:shd w:val="clear" w:color="auto" w:fill="auto"/>
            <w:noWrap/>
            <w:vAlign w:val="bottom"/>
          </w:tcPr>
          <w:p w:rsidR="0081798C" w:rsidRPr="005E73C8" w:rsidRDefault="0081798C" w:rsidP="0081798C">
            <w:pPr>
              <w:spacing w:line="276" w:lineRule="auto"/>
              <w:rPr>
                <w:color w:val="000000"/>
              </w:rPr>
            </w:pPr>
            <w:r>
              <w:rPr>
                <w:color w:val="000000"/>
                <w:lang w:val="id-ID"/>
              </w:rPr>
              <w:t xml:space="preserve">Kadar </w:t>
            </w:r>
            <w:r>
              <w:rPr>
                <w:color w:val="000000"/>
              </w:rPr>
              <w:t>protein</w:t>
            </w:r>
          </w:p>
        </w:tc>
        <w:tc>
          <w:tcPr>
            <w:tcW w:w="2552" w:type="dxa"/>
            <w:tcBorders>
              <w:top w:val="nil"/>
              <w:left w:val="nil"/>
              <w:bottom w:val="nil"/>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5,27</w:t>
            </w:r>
            <w:r>
              <w:rPr>
                <w:color w:val="000000"/>
                <w:lang w:val="id-ID"/>
              </w:rPr>
              <w:t>±1</w:t>
            </w:r>
            <w:r>
              <w:rPr>
                <w:color w:val="000000"/>
              </w:rPr>
              <w:t>,</w:t>
            </w:r>
            <w:r>
              <w:rPr>
                <w:color w:val="000000"/>
                <w:lang w:val="id-ID"/>
              </w:rPr>
              <w:t>03</w:t>
            </w:r>
          </w:p>
        </w:tc>
      </w:tr>
      <w:tr w:rsidR="0081798C" w:rsidRPr="00C143A4" w:rsidTr="0081798C">
        <w:trPr>
          <w:trHeight w:val="314"/>
        </w:trPr>
        <w:tc>
          <w:tcPr>
            <w:tcW w:w="1809" w:type="dxa"/>
            <w:tcBorders>
              <w:top w:val="nil"/>
              <w:left w:val="nil"/>
              <w:bottom w:val="single" w:sz="4" w:space="0" w:color="auto"/>
              <w:right w:val="nil"/>
            </w:tcBorders>
            <w:shd w:val="clear" w:color="auto" w:fill="auto"/>
            <w:noWrap/>
            <w:vAlign w:val="bottom"/>
          </w:tcPr>
          <w:p w:rsidR="0081798C" w:rsidRPr="005E73C8" w:rsidRDefault="0081798C" w:rsidP="0081798C">
            <w:pPr>
              <w:spacing w:line="276" w:lineRule="auto"/>
              <w:rPr>
                <w:color w:val="000000"/>
              </w:rPr>
            </w:pPr>
            <w:r>
              <w:rPr>
                <w:color w:val="000000"/>
                <w:lang w:val="id-ID"/>
              </w:rPr>
              <w:t>K</w:t>
            </w:r>
            <w:r>
              <w:rPr>
                <w:color w:val="000000"/>
              </w:rPr>
              <w:t>esukaan</w:t>
            </w:r>
          </w:p>
        </w:tc>
        <w:tc>
          <w:tcPr>
            <w:tcW w:w="2552" w:type="dxa"/>
            <w:tcBorders>
              <w:top w:val="nil"/>
              <w:left w:val="nil"/>
              <w:bottom w:val="single" w:sz="4" w:space="0" w:color="auto"/>
              <w:right w:val="nil"/>
            </w:tcBorders>
            <w:shd w:val="clear" w:color="auto" w:fill="auto"/>
            <w:noWrap/>
            <w:vAlign w:val="bottom"/>
          </w:tcPr>
          <w:p w:rsidR="0081798C" w:rsidRPr="00AD5B5C" w:rsidRDefault="0081798C" w:rsidP="0081798C">
            <w:pPr>
              <w:spacing w:line="276" w:lineRule="auto"/>
              <w:jc w:val="center"/>
              <w:rPr>
                <w:color w:val="000000"/>
              </w:rPr>
            </w:pPr>
            <w:r>
              <w:rPr>
                <w:color w:val="000000"/>
              </w:rPr>
              <w:t>4,17</w:t>
            </w:r>
            <w:r>
              <w:rPr>
                <w:color w:val="000000"/>
                <w:lang w:val="id-ID"/>
              </w:rPr>
              <w:t>±</w:t>
            </w:r>
            <w:r>
              <w:rPr>
                <w:color w:val="000000"/>
              </w:rPr>
              <w:t>0,99</w:t>
            </w:r>
          </w:p>
        </w:tc>
      </w:tr>
    </w:tbl>
    <w:p w:rsidR="00A90423" w:rsidRDefault="00A90423" w:rsidP="00057011">
      <w:pPr>
        <w:spacing w:line="276" w:lineRule="auto"/>
        <w:jc w:val="both"/>
      </w:pPr>
    </w:p>
    <w:p w:rsidR="00057011" w:rsidRDefault="00057011" w:rsidP="00057011">
      <w:pPr>
        <w:spacing w:line="276" w:lineRule="auto"/>
        <w:rPr>
          <w:b/>
        </w:rPr>
      </w:pPr>
      <w:r w:rsidRPr="007219FA">
        <w:rPr>
          <w:b/>
        </w:rPr>
        <w:t>Kesimpulan</w:t>
      </w:r>
    </w:p>
    <w:p w:rsidR="0081798C" w:rsidRPr="007D6106" w:rsidRDefault="00057011" w:rsidP="007D6106">
      <w:pPr>
        <w:spacing w:after="240" w:line="276" w:lineRule="auto"/>
        <w:ind w:firstLine="720"/>
        <w:jc w:val="both"/>
        <w:rPr>
          <w:color w:val="FF0000"/>
        </w:rPr>
      </w:pPr>
      <w:bookmarkStart w:id="11" w:name="_Hlk508063490"/>
      <w:r>
        <w:t>Substitusi</w:t>
      </w:r>
      <w:r w:rsidRPr="007219FA">
        <w:t xml:space="preserve"> terbaik</w:t>
      </w:r>
      <w:r>
        <w:t xml:space="preserve"> untuk pembuatan permen kue bingke ubi ungu yaitu menggunakan </w:t>
      </w:r>
      <w:r w:rsidR="009B0234">
        <w:t>0g</w:t>
      </w:r>
      <w:r>
        <w:t>ram tepung terigu dan 5</w:t>
      </w:r>
      <w:r w:rsidR="009B0234">
        <w:t>0g</w:t>
      </w:r>
      <w:r>
        <w:t xml:space="preserve">ram ubi ungu kukus. Karakteristik </w:t>
      </w:r>
      <w:r w:rsidRPr="007219FA">
        <w:t xml:space="preserve">fisikokimia </w:t>
      </w:r>
      <w:r>
        <w:t>kue bingke ubi ungu yang dihasilkan yaitu total padatan terlarut (18,18</w:t>
      </w:r>
      <w:r w:rsidRPr="007219FA">
        <w:t xml:space="preserve"> </w:t>
      </w:r>
      <w:r w:rsidRPr="007219FA">
        <w:rPr>
          <w:vertAlign w:val="superscript"/>
        </w:rPr>
        <w:t>0</w:t>
      </w:r>
      <w:r w:rsidRPr="007219FA">
        <w:t>brix)</w:t>
      </w:r>
      <w:r>
        <w:t>, kadar air (46,91 %), kadar protein (5,27</w:t>
      </w:r>
      <w:r w:rsidRPr="007219FA">
        <w:t xml:space="preserve"> %).</w:t>
      </w:r>
      <w:r>
        <w:t xml:space="preserve"> Karakteristik sensori kue bingke ubi ungu yang terbaik yaitu warna 3,87 (</w:t>
      </w:r>
      <w:r w:rsidR="007815A4">
        <w:t>agak suka sampai dengan suka</w:t>
      </w:r>
      <w:r>
        <w:t>), cita rasa 4,1 (suka sampai sanggat suka), tingkat kemanisan 3,97 (</w:t>
      </w:r>
      <w:r w:rsidR="007815A4">
        <w:t>agak suka sampai dengan suka</w:t>
      </w:r>
      <w:r>
        <w:t>), tekstur 3,87 (</w:t>
      </w:r>
      <w:r w:rsidR="007815A4">
        <w:t>agak suka sampai dengan suka</w:t>
      </w:r>
      <w:r>
        <w:t>) dan kesukaan 4,17 (suka sampai sanggat suka).</w:t>
      </w:r>
      <w:bookmarkEnd w:id="11"/>
    </w:p>
    <w:p w:rsidR="00057011" w:rsidRDefault="00057011" w:rsidP="00057011">
      <w:pPr>
        <w:spacing w:line="276" w:lineRule="auto"/>
        <w:jc w:val="both"/>
        <w:rPr>
          <w:b/>
        </w:rPr>
      </w:pPr>
      <w:r w:rsidRPr="000300A7">
        <w:rPr>
          <w:b/>
        </w:rPr>
        <w:t>Saran</w:t>
      </w:r>
    </w:p>
    <w:p w:rsidR="003907E2" w:rsidRPr="003907E2" w:rsidRDefault="00057011" w:rsidP="0092290F">
      <w:pPr>
        <w:spacing w:after="240" w:line="276" w:lineRule="auto"/>
        <w:ind w:firstLine="720"/>
        <w:jc w:val="both"/>
      </w:pPr>
      <w:bookmarkStart w:id="12" w:name="_Hlk508762975"/>
      <w:r>
        <w:t xml:space="preserve">Penelitian kue bingke ubi perlu dilakukan penelitian lanjutan dengan bahan baku lainya. Tidak hanya umbi-umbian tetapi bahan yang lain untuk mengetahui kesukaan panelis pada bahan baku yang berbeda terhadap kue bingke. </w:t>
      </w:r>
      <w:bookmarkEnd w:id="12"/>
    </w:p>
    <w:p w:rsidR="0092290F" w:rsidRPr="006563A3" w:rsidRDefault="00734D9A" w:rsidP="0092290F">
      <w:pPr>
        <w:pStyle w:val="Heading1"/>
        <w:tabs>
          <w:tab w:val="left" w:pos="0"/>
        </w:tabs>
        <w:spacing w:line="276" w:lineRule="auto"/>
        <w:rPr>
          <w:sz w:val="24"/>
          <w:szCs w:val="24"/>
        </w:rPr>
      </w:pPr>
      <w:r w:rsidRPr="00266AA9">
        <w:rPr>
          <w:sz w:val="24"/>
          <w:szCs w:val="24"/>
        </w:rPr>
        <w:t>Daftar Pustaka</w:t>
      </w:r>
    </w:p>
    <w:p w:rsidR="0092290F" w:rsidRDefault="0092290F" w:rsidP="00591763">
      <w:pPr>
        <w:spacing w:after="240" w:line="276" w:lineRule="auto"/>
        <w:ind w:left="426" w:hanging="426"/>
        <w:jc w:val="both"/>
      </w:pPr>
      <w:r>
        <w:t>Baedhowi, M</w:t>
      </w:r>
      <w:r w:rsidRPr="006563A3">
        <w:t xml:space="preserve"> dan S. Pianggonowati. 1982. </w:t>
      </w:r>
      <w:r w:rsidRPr="006563A3">
        <w:rPr>
          <w:i/>
          <w:iCs/>
        </w:rPr>
        <w:t xml:space="preserve">Petunjuk Praktek Pengawasan Mutu Hasil Pertanian 1. </w:t>
      </w:r>
      <w:r w:rsidRPr="006563A3">
        <w:t>Jakarta : Departemen Pendidikan dan Kebudayaan.</w:t>
      </w:r>
    </w:p>
    <w:p w:rsidR="00591763" w:rsidRDefault="0092290F" w:rsidP="00591763">
      <w:pPr>
        <w:spacing w:line="276" w:lineRule="auto"/>
        <w:ind w:left="426" w:hanging="426"/>
        <w:jc w:val="both"/>
      </w:pPr>
      <w:r>
        <w:lastRenderedPageBreak/>
        <w:t xml:space="preserve">Departemen Kesehatan RI. 1972. </w:t>
      </w:r>
      <w:r w:rsidRPr="00141233">
        <w:rPr>
          <w:i/>
        </w:rPr>
        <w:t>Daftar Komposisi Bahan Makanan</w:t>
      </w:r>
      <w:r>
        <w:t>. Bharata Karya Aksara, Jakarta.</w:t>
      </w:r>
    </w:p>
    <w:p w:rsidR="0092290F" w:rsidRPr="00591763" w:rsidRDefault="0092290F" w:rsidP="00591763">
      <w:pPr>
        <w:spacing w:line="276" w:lineRule="auto"/>
        <w:ind w:left="426" w:hanging="426"/>
        <w:jc w:val="both"/>
      </w:pPr>
      <w:r w:rsidRPr="0033428B">
        <w:t xml:space="preserve">Direktorat Gizi. Departemen Kesehatan, (2000), </w:t>
      </w:r>
      <w:r>
        <w:rPr>
          <w:i/>
          <w:iCs/>
        </w:rPr>
        <w:t xml:space="preserve">Daftar Komposisi Bahan Makanan </w:t>
      </w:r>
      <w:r w:rsidRPr="0033428B">
        <w:rPr>
          <w:i/>
          <w:iCs/>
        </w:rPr>
        <w:t>Direktorat Gizi</w:t>
      </w:r>
      <w:r w:rsidRPr="0033428B">
        <w:t>, Departemen Kesehatan RI, Jakarta.</w:t>
      </w:r>
    </w:p>
    <w:p w:rsidR="0092290F" w:rsidRDefault="0092290F" w:rsidP="00591763">
      <w:pPr>
        <w:spacing w:line="276" w:lineRule="auto"/>
        <w:ind w:left="426" w:hanging="426"/>
        <w:jc w:val="both"/>
      </w:pPr>
      <w:r w:rsidRPr="00A06716">
        <w:t>De Garmo E.P., Sullivan W.G dan Canada J.R, (1984), Engineering Economy, Seventh Edition, Macmillan Publishing Company, New York.</w:t>
      </w:r>
    </w:p>
    <w:p w:rsidR="005518F8" w:rsidRDefault="0092290F" w:rsidP="00F9088B">
      <w:pPr>
        <w:spacing w:line="276" w:lineRule="auto"/>
        <w:ind w:left="426" w:hanging="426"/>
        <w:jc w:val="both"/>
      </w:pPr>
      <w:r w:rsidRPr="00AF0416">
        <w:t>Hanafiah, K. A. 2003. Rancangan Percobaan Teori dan Aplikasi. Raja Gravindo</w:t>
      </w:r>
      <w:r>
        <w:t xml:space="preserve"> </w:t>
      </w:r>
      <w:r w:rsidRPr="00AF0416">
        <w:t>Persada, Jakarta.</w:t>
      </w:r>
    </w:p>
    <w:p w:rsidR="00E31F9B" w:rsidRDefault="0092290F" w:rsidP="00591763">
      <w:pPr>
        <w:spacing w:line="276" w:lineRule="auto"/>
        <w:ind w:left="426" w:hanging="426"/>
        <w:jc w:val="both"/>
      </w:pPr>
      <w:r w:rsidRPr="00091B7F">
        <w:t xml:space="preserve">Ismawan, E. 2003. </w:t>
      </w:r>
      <w:r>
        <w:t xml:space="preserve">Pemanfaatan limbah rumput laut </w:t>
      </w:r>
      <w:r w:rsidRPr="00573229">
        <w:rPr>
          <w:i/>
        </w:rPr>
        <w:t>kapphaphycus alvararezii</w:t>
      </w:r>
      <w:r>
        <w:t xml:space="preserve"> dalam pembuatan sirup jeruk (c itrus aurantium).</w:t>
      </w:r>
    </w:p>
    <w:p w:rsidR="0092290F" w:rsidRDefault="00E31F9B" w:rsidP="00591763">
      <w:pPr>
        <w:spacing w:line="276" w:lineRule="auto"/>
        <w:ind w:left="426" w:hanging="426"/>
        <w:jc w:val="both"/>
      </w:pPr>
      <w:r>
        <w:t>Nicola, F. (2015). Hubungan antara konduktivitas, TDS (Total Dissolved Solid) dengan kadar Fe2+ dan Fe Total Pada Air Sumur Gali jurusan kimia Fakultas Matematika dan Ilmu Pengetahuaan Alam  Universitas Jamber. Jawa Timur.</w:t>
      </w:r>
    </w:p>
    <w:p w:rsidR="0092290F" w:rsidRDefault="0092290F" w:rsidP="00591763">
      <w:pPr>
        <w:spacing w:line="276" w:lineRule="auto"/>
        <w:ind w:left="426" w:hanging="426"/>
        <w:jc w:val="both"/>
      </w:pPr>
      <w:r w:rsidRPr="00615D69">
        <w:t>Nursalim. dan Razali., 2007, Response surface Analysis of extract yield and flavor intensity of brazilian cherry (</w:t>
      </w:r>
      <w:r w:rsidRPr="00615D69">
        <w:rPr>
          <w:i/>
          <w:iCs/>
        </w:rPr>
        <w:t xml:space="preserve">Eugenia uniflora </w:t>
      </w:r>
      <w:r w:rsidRPr="00615D69">
        <w:t xml:space="preserve">L.) obtained by supercritical carbon dioxide extraction, Innovative Food Science and Emerging Technologies, 10, 189−194. </w:t>
      </w:r>
    </w:p>
    <w:p w:rsidR="0092290F" w:rsidRPr="006563A3" w:rsidRDefault="0092290F" w:rsidP="00421D39">
      <w:pPr>
        <w:spacing w:line="276" w:lineRule="auto"/>
        <w:ind w:left="426" w:hanging="426"/>
        <w:jc w:val="both"/>
      </w:pPr>
      <w:r>
        <w:t>Prihatini, R.I., 2008, Analisa Kecukupan Panas Pada Proses Pasturisasi Santan. Insitut Pertanian Bogor, Fakultas Teknologi Pertanian, Bogor (Skripsi)</w:t>
      </w:r>
    </w:p>
    <w:p w:rsidR="0092290F" w:rsidRPr="006563A3" w:rsidRDefault="0092290F" w:rsidP="00591763">
      <w:pPr>
        <w:spacing w:line="276" w:lineRule="auto"/>
        <w:ind w:left="426" w:hanging="426"/>
        <w:jc w:val="both"/>
      </w:pPr>
      <w:r w:rsidRPr="00D749C1">
        <w:t xml:space="preserve">Pudjirahaju, A. (1999). Konsumsi Pangan sebagai Indikator kemiskinan. </w:t>
      </w:r>
      <w:r w:rsidRPr="00D749C1">
        <w:rPr>
          <w:i/>
        </w:rPr>
        <w:t>Tesis</w:t>
      </w:r>
      <w:r w:rsidRPr="00D749C1">
        <w:t>. Institut Pertanian Bogor. Hal. 117-119.</w:t>
      </w:r>
    </w:p>
    <w:p w:rsidR="0092290F" w:rsidRPr="006563A3" w:rsidRDefault="0092290F" w:rsidP="00591763">
      <w:pPr>
        <w:spacing w:after="240" w:line="276" w:lineRule="auto"/>
        <w:ind w:left="426" w:hanging="426"/>
        <w:jc w:val="both"/>
      </w:pPr>
      <w:r>
        <w:t xml:space="preserve">Pudjirahaju, A </w:t>
      </w:r>
      <w:r w:rsidRPr="006563A3">
        <w:t xml:space="preserve"> dan Astutik., 1999</w:t>
      </w:r>
      <w:r>
        <w:t xml:space="preserve">. </w:t>
      </w:r>
      <w:r w:rsidRPr="006563A3">
        <w:rPr>
          <w:i/>
        </w:rPr>
        <w:t>Penilaian Kualitas Makanan Secara Organoleptik</w:t>
      </w:r>
      <w:r w:rsidRPr="006563A3">
        <w:t>, Malang (ID): Universitas Brawijaya.</w:t>
      </w:r>
    </w:p>
    <w:p w:rsidR="0092290F" w:rsidRDefault="0092290F" w:rsidP="00C53087">
      <w:pPr>
        <w:spacing w:before="240" w:line="276" w:lineRule="auto"/>
        <w:ind w:left="426" w:hanging="426"/>
        <w:jc w:val="both"/>
      </w:pPr>
      <w:r>
        <w:lastRenderedPageBreak/>
        <w:t xml:space="preserve">Pokamy, J., Yanishlieva, N dan Gordon, </w:t>
      </w:r>
      <w:r w:rsidRPr="006563A3">
        <w:t>M. 2011.</w:t>
      </w:r>
      <w:r>
        <w:t xml:space="preserve"> </w:t>
      </w:r>
      <w:r w:rsidRPr="006563A3">
        <w:rPr>
          <w:i/>
        </w:rPr>
        <w:t>Antioxidant in Food : Practical and Applicantion.</w:t>
      </w:r>
      <w:r w:rsidRPr="006563A3">
        <w:t xml:space="preserve"> CRC PRESS. New York</w:t>
      </w:r>
      <w:r w:rsidR="00C53087">
        <w:t>.</w:t>
      </w:r>
    </w:p>
    <w:p w:rsidR="0092290F" w:rsidRPr="00591763" w:rsidRDefault="0092290F" w:rsidP="00591763">
      <w:pPr>
        <w:spacing w:line="276" w:lineRule="auto"/>
        <w:ind w:left="426" w:hanging="426"/>
        <w:jc w:val="both"/>
        <w:rPr>
          <w:rFonts w:eastAsia="Calibri"/>
          <w:bCs/>
          <w:iCs/>
        </w:rPr>
      </w:pPr>
      <w:r>
        <w:rPr>
          <w:rFonts w:eastAsia="Calibri"/>
          <w:bCs/>
          <w:iCs/>
        </w:rPr>
        <w:t>Pomeranz, Y</w:t>
      </w:r>
      <w:r w:rsidRPr="00D1509C">
        <w:rPr>
          <w:rFonts w:eastAsia="Calibri"/>
          <w:bCs/>
          <w:iCs/>
        </w:rPr>
        <w:t xml:space="preserve"> dan</w:t>
      </w:r>
      <w:r>
        <w:rPr>
          <w:rFonts w:eastAsia="Calibri"/>
          <w:bCs/>
          <w:iCs/>
        </w:rPr>
        <w:t xml:space="preserve"> </w:t>
      </w:r>
      <w:r w:rsidRPr="00D1509C">
        <w:rPr>
          <w:rFonts w:eastAsia="Calibri"/>
          <w:bCs/>
          <w:iCs/>
        </w:rPr>
        <w:t xml:space="preserve">Meloan, C.E. 1980. </w:t>
      </w:r>
      <w:r>
        <w:rPr>
          <w:rFonts w:eastAsia="Calibri"/>
          <w:bCs/>
          <w:iCs/>
        </w:rPr>
        <w:t xml:space="preserve"> </w:t>
      </w:r>
      <w:r w:rsidRPr="00D1509C">
        <w:rPr>
          <w:rFonts w:eastAsia="Calibri"/>
          <w:bCs/>
          <w:i/>
          <w:iCs/>
        </w:rPr>
        <w:t>Food Analysis : Theory and Practice</w:t>
      </w:r>
      <w:r w:rsidRPr="00D1509C">
        <w:rPr>
          <w:rFonts w:eastAsia="Calibri"/>
          <w:bCs/>
          <w:iCs/>
        </w:rPr>
        <w:t>. The AVI Publ. Co. Inc. Wespport. Connecticut.</w:t>
      </w:r>
    </w:p>
    <w:p w:rsidR="0092290F" w:rsidRPr="006563A3" w:rsidRDefault="0092290F" w:rsidP="009A793C">
      <w:pPr>
        <w:spacing w:line="276" w:lineRule="auto"/>
        <w:ind w:left="426" w:hanging="426"/>
        <w:jc w:val="both"/>
      </w:pPr>
      <w:r>
        <w:t xml:space="preserve">Samber, L.N., H. Semangun  dan B. Prasetyo. 2014. Karakteristik Antosianin Sebagai Pewarna Alami. </w:t>
      </w:r>
      <w:r>
        <w:rPr>
          <w:i/>
        </w:rPr>
        <w:t>Artikel</w:t>
      </w:r>
      <w:r>
        <w:t>. Seminar Nasional Universitas Negeri Surakarta. Surakarta</w:t>
      </w:r>
      <w:r w:rsidR="009A793C">
        <w:t>.</w:t>
      </w:r>
    </w:p>
    <w:p w:rsidR="0092290F" w:rsidRPr="009A793C" w:rsidRDefault="0092290F" w:rsidP="009A793C">
      <w:pPr>
        <w:spacing w:line="276" w:lineRule="auto"/>
        <w:ind w:left="426" w:hanging="426"/>
        <w:jc w:val="both"/>
      </w:pPr>
      <w:r w:rsidRPr="006563A3">
        <w:t>Sudarmadji, S.B.</w:t>
      </w:r>
      <w:r>
        <w:t>,</w:t>
      </w:r>
      <w:r w:rsidRPr="006563A3">
        <w:t xml:space="preserve"> Haryono dan Suhardi. 1997. </w:t>
      </w:r>
      <w:r w:rsidRPr="006563A3">
        <w:rPr>
          <w:i/>
          <w:iCs/>
        </w:rPr>
        <w:t>Analisa Bahan Makanan dan Hasil Pertanian</w:t>
      </w:r>
      <w:r w:rsidRPr="006563A3">
        <w:t>. Jakarta : Grahamedia Pustaka Utama.</w:t>
      </w:r>
    </w:p>
    <w:p w:rsidR="0092290F" w:rsidRDefault="0092290F" w:rsidP="009A793C">
      <w:pPr>
        <w:spacing w:line="276" w:lineRule="auto"/>
        <w:ind w:left="426" w:hanging="426"/>
        <w:jc w:val="both"/>
      </w:pPr>
      <w:r w:rsidRPr="006563A3">
        <w:t xml:space="preserve">Suprapti dan Lies. (2009). </w:t>
      </w:r>
      <w:r w:rsidRPr="006563A3">
        <w:rPr>
          <w:i/>
        </w:rPr>
        <w:t>Tepung Tapioka</w:t>
      </w:r>
      <w:r w:rsidRPr="006563A3">
        <w:t>. Yogyakarta: Kanisius.</w:t>
      </w:r>
    </w:p>
    <w:p w:rsidR="00511996" w:rsidRDefault="0092290F" w:rsidP="009A793C">
      <w:pPr>
        <w:spacing w:line="276" w:lineRule="auto"/>
        <w:ind w:left="426" w:hanging="426"/>
        <w:jc w:val="both"/>
      </w:pPr>
      <w:r>
        <w:t>Suprapto, H., Yuliani dan Nur Afifah. 2012. Pengaruh Substitusi Ubi Jalar Ungu (</w:t>
      </w:r>
      <w:r w:rsidRPr="009D169E">
        <w:rPr>
          <w:i/>
        </w:rPr>
        <w:t>Ipomea batatas</w:t>
      </w:r>
      <w:r>
        <w:t xml:space="preserve"> L.) dan Media Penggorengan Terhadap Mutu Donat Ubi Jalar Ungu. </w:t>
      </w:r>
      <w:r w:rsidRPr="00874937">
        <w:rPr>
          <w:i/>
        </w:rPr>
        <w:t>Jural Teknologi Pertanian</w:t>
      </w:r>
      <w:r>
        <w:t xml:space="preserve"> 7(2):68-73.</w:t>
      </w:r>
      <w:r w:rsidR="007646FE">
        <w:t xml:space="preserve"> </w:t>
      </w:r>
      <w:r w:rsidRPr="006563A3">
        <w:t>Academic Press.  New York.  293 pp.</w:t>
      </w:r>
    </w:p>
    <w:p w:rsidR="00511996" w:rsidRPr="00615D69" w:rsidRDefault="00511996" w:rsidP="00C53087">
      <w:pPr>
        <w:spacing w:line="276" w:lineRule="auto"/>
        <w:ind w:left="426" w:hanging="426"/>
        <w:jc w:val="both"/>
      </w:pPr>
      <w:r w:rsidRPr="00615D69">
        <w:t>Winarno, F.G., 1992,</w:t>
      </w:r>
      <w:r w:rsidRPr="00615D69">
        <w:rPr>
          <w:i/>
          <w:iCs/>
        </w:rPr>
        <w:t>Kimia Pangan dan Gizi,</w:t>
      </w:r>
      <w:r w:rsidRPr="00615D69">
        <w:t>PT Gramedia Pustaka Utama, Jakarta</w:t>
      </w:r>
    </w:p>
    <w:p w:rsidR="00511996" w:rsidRPr="00615D69" w:rsidRDefault="00511996" w:rsidP="00C53087">
      <w:pPr>
        <w:spacing w:line="276" w:lineRule="auto"/>
        <w:ind w:left="426"/>
        <w:jc w:val="both"/>
      </w:pPr>
      <w:r w:rsidRPr="00615D69">
        <w:t>----------------., 1997,</w:t>
      </w:r>
      <w:r w:rsidRPr="00615D69">
        <w:rPr>
          <w:i/>
          <w:iCs/>
        </w:rPr>
        <w:t>Kimia Pangan dan Giz,</w:t>
      </w:r>
      <w:r w:rsidRPr="00615D69">
        <w:t>PT Gramedia Pustaka Utama, Jakarta</w:t>
      </w:r>
    </w:p>
    <w:p w:rsidR="00511996" w:rsidRPr="00615D69" w:rsidRDefault="00511996" w:rsidP="00C53087">
      <w:pPr>
        <w:spacing w:line="276" w:lineRule="auto"/>
        <w:ind w:left="426"/>
        <w:jc w:val="both"/>
      </w:pPr>
      <w:r w:rsidRPr="00615D69">
        <w:t>----------------., 2002,</w:t>
      </w:r>
      <w:r w:rsidRPr="00615D69">
        <w:rPr>
          <w:i/>
          <w:iCs/>
        </w:rPr>
        <w:t>Kimia Pangan dan Gizi,</w:t>
      </w:r>
      <w:r w:rsidRPr="00615D69">
        <w:t>PT Gramedia Pustaka Utama, Jakarta</w:t>
      </w:r>
    </w:p>
    <w:p w:rsidR="00511996" w:rsidRDefault="00511996" w:rsidP="00C53087">
      <w:pPr>
        <w:spacing w:after="240" w:line="276" w:lineRule="auto"/>
        <w:ind w:left="426"/>
        <w:jc w:val="both"/>
      </w:pPr>
      <w:r w:rsidRPr="00615D69">
        <w:t xml:space="preserve">----------------.,2004. </w:t>
      </w:r>
      <w:r w:rsidRPr="00615D69">
        <w:rPr>
          <w:i/>
          <w:iCs/>
        </w:rPr>
        <w:t xml:space="preserve">Kimia Pangan dan Gizi. </w:t>
      </w:r>
      <w:r w:rsidRPr="00615D69">
        <w:t>PT Gramedia Pustaka Utama. Jakarta</w:t>
      </w:r>
      <w:r w:rsidR="009A793C">
        <w:t>.</w:t>
      </w:r>
    </w:p>
    <w:p w:rsidR="00EE630E" w:rsidRPr="00EA492E" w:rsidRDefault="00EA492E" w:rsidP="009A793C">
      <w:pPr>
        <w:spacing w:after="240" w:line="276" w:lineRule="auto"/>
        <w:ind w:left="426" w:hanging="426"/>
        <w:jc w:val="both"/>
      </w:pPr>
      <w:r>
        <w:t>Gomez, M.H. dan J.M. Aguilera. 1983. Changes in The Starch Fraction During Extrusion Cooking of Corn</w:t>
      </w:r>
      <w:r w:rsidRPr="00EA492E">
        <w:rPr>
          <w:i/>
        </w:rPr>
        <w:t xml:space="preserve">. Jurnal Food Scienece </w:t>
      </w:r>
      <w:r>
        <w:t>48 (2):378-381.</w:t>
      </w:r>
      <w:r>
        <w:rPr>
          <w:i/>
        </w:rPr>
        <w:t xml:space="preserve"> </w:t>
      </w:r>
    </w:p>
    <w:p w:rsidR="005518F8" w:rsidRPr="006563A3" w:rsidRDefault="0092290F" w:rsidP="005518F8">
      <w:pPr>
        <w:spacing w:after="240" w:line="276" w:lineRule="auto"/>
        <w:ind w:left="426" w:hanging="426"/>
        <w:jc w:val="both"/>
      </w:pPr>
      <w:r w:rsidRPr="006563A3">
        <w:lastRenderedPageBreak/>
        <w:t>Yang</w:t>
      </w:r>
      <w:r>
        <w:t>,</w:t>
      </w:r>
      <w:r w:rsidRPr="006563A3">
        <w:t xml:space="preserve"> J dan Gadi</w:t>
      </w:r>
      <w:r>
        <w:t>,</w:t>
      </w:r>
      <w:r w:rsidRPr="006563A3">
        <w:t xml:space="preserve"> RL. 2008. </w:t>
      </w:r>
      <w:r w:rsidRPr="00191309">
        <w:t>Effects of dehydration on anthocyanins, antioxidant activities, total phenols and color characteristics of purple-fleshed sweet potatoes (</w:t>
      </w:r>
      <w:r w:rsidRPr="00D11228">
        <w:rPr>
          <w:i/>
        </w:rPr>
        <w:t>Ipomea batatas</w:t>
      </w:r>
      <w:r w:rsidRPr="00191309">
        <w:t>),</w:t>
      </w:r>
      <w:r>
        <w:t xml:space="preserve"> </w:t>
      </w:r>
      <w:r w:rsidRPr="006563A3">
        <w:t xml:space="preserve"> </w:t>
      </w:r>
      <w:r w:rsidRPr="00191309">
        <w:rPr>
          <w:i/>
        </w:rPr>
        <w:t>American Journal of Food Technology</w:t>
      </w:r>
      <w:r w:rsidRPr="006563A3">
        <w:t xml:space="preserve"> (2008) (e-journal) http://www.academicjournals. net/fultext.html. (13 Febuari 2018).</w:t>
      </w:r>
    </w:p>
    <w:p w:rsidR="0092290F" w:rsidRDefault="0092290F" w:rsidP="00421D39">
      <w:pPr>
        <w:spacing w:line="276" w:lineRule="auto"/>
        <w:ind w:left="426" w:hanging="426"/>
        <w:jc w:val="both"/>
      </w:pPr>
      <w:r w:rsidRPr="006563A3">
        <w:t>Zuraida</w:t>
      </w:r>
      <w:r>
        <w:t>,</w:t>
      </w:r>
      <w:r w:rsidRPr="006563A3">
        <w:t xml:space="preserve"> N dan Supriati Y. 2008. </w:t>
      </w:r>
      <w:r w:rsidRPr="006563A3">
        <w:rPr>
          <w:i/>
        </w:rPr>
        <w:t>Usahatani Ubi Jalar sebagai Bahan Pangan Alternatif dan Diversifikasi Sumber Karbohidrat.</w:t>
      </w:r>
      <w:r w:rsidRPr="006563A3">
        <w:t xml:space="preserve"> Biogen Online.</w:t>
      </w:r>
      <w:r>
        <w:t xml:space="preserve"> </w:t>
      </w:r>
      <w:r w:rsidRPr="006563A3">
        <w:t>http://biogen.litbang.deptan.go.id/terbitan/pdf/agrobio4_1_13-23.pdf. (13 Februari 2018). View publication.</w:t>
      </w:r>
    </w:p>
    <w:p w:rsidR="0092290F" w:rsidRDefault="0092290F" w:rsidP="00D908BF">
      <w:pPr>
        <w:pStyle w:val="NoSpacing"/>
        <w:spacing w:line="276" w:lineRule="auto"/>
        <w:ind w:left="0" w:firstLine="0"/>
        <w:jc w:val="both"/>
        <w:rPr>
          <w:rFonts w:ascii="Times New Roman" w:hAnsi="Times New Roman" w:cs="Times New Roman"/>
          <w:sz w:val="24"/>
          <w:szCs w:val="24"/>
        </w:rPr>
      </w:pPr>
    </w:p>
    <w:p w:rsidR="001A377B" w:rsidRPr="00E6686E" w:rsidRDefault="001A377B" w:rsidP="00D908BF">
      <w:pPr>
        <w:pStyle w:val="NormalWeb"/>
        <w:spacing w:before="0" w:beforeAutospacing="0" w:after="0" w:line="276" w:lineRule="auto"/>
        <w:ind w:left="630" w:hanging="630"/>
        <w:jc w:val="both"/>
        <w:rPr>
          <w:color w:val="000000"/>
          <w:lang w:val="id-ID"/>
        </w:rPr>
      </w:pPr>
    </w:p>
    <w:sectPr w:rsidR="001A377B" w:rsidRPr="00E6686E" w:rsidSect="00A801E1">
      <w:type w:val="continuous"/>
      <w:pgSz w:w="11907" w:h="16839" w:code="9"/>
      <w:pgMar w:top="1699" w:right="1282" w:bottom="1282" w:left="1699" w:header="720" w:footer="720" w:gutter="0"/>
      <w:cols w:num="2" w:space="2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DE" w:rsidRDefault="001242DE" w:rsidP="008B441A">
      <w:r>
        <w:separator/>
      </w:r>
    </w:p>
  </w:endnote>
  <w:endnote w:type="continuationSeparator" w:id="1">
    <w:p w:rsidR="001242DE" w:rsidRDefault="001242DE" w:rsidP="008B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826672"/>
      <w:docPartObj>
        <w:docPartGallery w:val="Page Numbers (Bottom of Page)"/>
        <w:docPartUnique/>
      </w:docPartObj>
    </w:sdtPr>
    <w:sdtEndPr>
      <w:rPr>
        <w:noProof/>
      </w:rPr>
    </w:sdtEndPr>
    <w:sdtContent>
      <w:p w:rsidR="00D860BB" w:rsidRDefault="008A3CE0">
        <w:pPr>
          <w:pStyle w:val="Footer"/>
          <w:jc w:val="center"/>
        </w:pPr>
        <w:fldSimple w:instr=" PAGE   \* MERGEFORMAT ">
          <w:r w:rsidR="00485CA1">
            <w:rPr>
              <w:noProof/>
            </w:rPr>
            <w:t>6</w:t>
          </w:r>
        </w:fldSimple>
      </w:p>
    </w:sdtContent>
  </w:sdt>
  <w:p w:rsidR="00D860BB" w:rsidRDefault="00D86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DE" w:rsidRDefault="001242DE" w:rsidP="008B441A">
      <w:r>
        <w:separator/>
      </w:r>
    </w:p>
  </w:footnote>
  <w:footnote w:type="continuationSeparator" w:id="1">
    <w:p w:rsidR="001242DE" w:rsidRDefault="001242DE" w:rsidP="008B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A16A9"/>
    <w:multiLevelType w:val="hybridMultilevel"/>
    <w:tmpl w:val="BF746BCE"/>
    <w:lvl w:ilvl="0" w:tplc="1CC8720A">
      <w:start w:val="1"/>
      <w:numFmt w:val="decimal"/>
      <w:lvlText w:val="%1."/>
      <w:lvlJc w:val="left"/>
      <w:pPr>
        <w:ind w:left="1353" w:hanging="360"/>
      </w:pPr>
      <w:rPr>
        <w:rFonts w:ascii="Times New Roman" w:eastAsia="Times New Roman" w:hAnsi="Times New Roman" w:cstheme="minorBid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E935B9"/>
    <w:multiLevelType w:val="multilevel"/>
    <w:tmpl w:val="DECAA3F8"/>
    <w:lvl w:ilvl="0">
      <w:start w:val="4"/>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FE3AF8"/>
    <w:multiLevelType w:val="hybridMultilevel"/>
    <w:tmpl w:val="D202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56AB"/>
    <w:multiLevelType w:val="hybridMultilevel"/>
    <w:tmpl w:val="A03EF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ED1CD4"/>
    <w:multiLevelType w:val="hybridMultilevel"/>
    <w:tmpl w:val="B008B912"/>
    <w:lvl w:ilvl="0" w:tplc="F9C6BC52">
      <w:start w:val="1"/>
      <w:numFmt w:val="lowerLetter"/>
      <w:lvlText w:val="%1."/>
      <w:lvlJc w:val="left"/>
      <w:pPr>
        <w:ind w:left="720" w:hanging="360"/>
      </w:pPr>
      <w:rPr>
        <w:rFonts w:hint="default"/>
      </w:rPr>
    </w:lvl>
    <w:lvl w:ilvl="1" w:tplc="71DA49CA">
      <w:start w:val="1"/>
      <w:numFmt w:val="decimal"/>
      <w:lvlText w:val="%2."/>
      <w:lvlJc w:val="left"/>
      <w:pPr>
        <w:ind w:left="12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40D64"/>
    <w:multiLevelType w:val="hybridMultilevel"/>
    <w:tmpl w:val="45D4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A765B"/>
    <w:multiLevelType w:val="hybridMultilevel"/>
    <w:tmpl w:val="EAFA11AA"/>
    <w:lvl w:ilvl="0" w:tplc="185E4F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81C6D"/>
    <w:multiLevelType w:val="multilevel"/>
    <w:tmpl w:val="53FAFE3A"/>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4">
    <w:nsid w:val="71330D31"/>
    <w:multiLevelType w:val="hybridMultilevel"/>
    <w:tmpl w:val="93C2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4"/>
  </w:num>
  <w:num w:numId="8">
    <w:abstractNumId w:val="1"/>
  </w:num>
  <w:num w:numId="9">
    <w:abstractNumId w:val="7"/>
  </w:num>
  <w:num w:numId="10">
    <w:abstractNumId w:val="5"/>
  </w:num>
  <w:num w:numId="11">
    <w:abstractNumId w:val="9"/>
  </w:num>
  <w:num w:numId="12">
    <w:abstractNumId w:val="14"/>
  </w:num>
  <w:num w:numId="13">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BB3D38"/>
    <w:rsid w:val="00034C2D"/>
    <w:rsid w:val="00041056"/>
    <w:rsid w:val="00052CC2"/>
    <w:rsid w:val="00057011"/>
    <w:rsid w:val="0006144B"/>
    <w:rsid w:val="00063800"/>
    <w:rsid w:val="0007493F"/>
    <w:rsid w:val="00084CF9"/>
    <w:rsid w:val="00091AAE"/>
    <w:rsid w:val="00092C58"/>
    <w:rsid w:val="00092E48"/>
    <w:rsid w:val="00095415"/>
    <w:rsid w:val="00096107"/>
    <w:rsid w:val="000A1182"/>
    <w:rsid w:val="000B4612"/>
    <w:rsid w:val="000B4C78"/>
    <w:rsid w:val="000C7BAC"/>
    <w:rsid w:val="000D58FE"/>
    <w:rsid w:val="000D598E"/>
    <w:rsid w:val="000E2B4C"/>
    <w:rsid w:val="000E62F1"/>
    <w:rsid w:val="00117177"/>
    <w:rsid w:val="00123147"/>
    <w:rsid w:val="001242DE"/>
    <w:rsid w:val="00131312"/>
    <w:rsid w:val="00140308"/>
    <w:rsid w:val="001403D8"/>
    <w:rsid w:val="00153167"/>
    <w:rsid w:val="0015411F"/>
    <w:rsid w:val="001665B7"/>
    <w:rsid w:val="00175C54"/>
    <w:rsid w:val="001843B2"/>
    <w:rsid w:val="001928FC"/>
    <w:rsid w:val="001A129A"/>
    <w:rsid w:val="001A377B"/>
    <w:rsid w:val="001C00A9"/>
    <w:rsid w:val="001C7FF4"/>
    <w:rsid w:val="001D0DE5"/>
    <w:rsid w:val="001E0343"/>
    <w:rsid w:val="001E72D8"/>
    <w:rsid w:val="001E7CE4"/>
    <w:rsid w:val="001F29F8"/>
    <w:rsid w:val="001F361B"/>
    <w:rsid w:val="00211488"/>
    <w:rsid w:val="00214781"/>
    <w:rsid w:val="00221FB4"/>
    <w:rsid w:val="0023417B"/>
    <w:rsid w:val="00236367"/>
    <w:rsid w:val="00236413"/>
    <w:rsid w:val="002422ED"/>
    <w:rsid w:val="0024404F"/>
    <w:rsid w:val="00246999"/>
    <w:rsid w:val="0025208E"/>
    <w:rsid w:val="00252900"/>
    <w:rsid w:val="00254856"/>
    <w:rsid w:val="00265F4C"/>
    <w:rsid w:val="00266AA9"/>
    <w:rsid w:val="00270056"/>
    <w:rsid w:val="002858DB"/>
    <w:rsid w:val="002964F1"/>
    <w:rsid w:val="002979D0"/>
    <w:rsid w:val="002A0907"/>
    <w:rsid w:val="002A7023"/>
    <w:rsid w:val="002B051A"/>
    <w:rsid w:val="002C4232"/>
    <w:rsid w:val="002C5046"/>
    <w:rsid w:val="002C5504"/>
    <w:rsid w:val="002C71A6"/>
    <w:rsid w:val="002C7AAF"/>
    <w:rsid w:val="002D2D61"/>
    <w:rsid w:val="002E5150"/>
    <w:rsid w:val="002F30AB"/>
    <w:rsid w:val="002F7735"/>
    <w:rsid w:val="00300BCA"/>
    <w:rsid w:val="00304273"/>
    <w:rsid w:val="0031592F"/>
    <w:rsid w:val="00320E0A"/>
    <w:rsid w:val="00323A99"/>
    <w:rsid w:val="00327C69"/>
    <w:rsid w:val="00330985"/>
    <w:rsid w:val="0034499E"/>
    <w:rsid w:val="003450A7"/>
    <w:rsid w:val="00346527"/>
    <w:rsid w:val="00346A36"/>
    <w:rsid w:val="00353F31"/>
    <w:rsid w:val="00361F24"/>
    <w:rsid w:val="003624D5"/>
    <w:rsid w:val="00366F2D"/>
    <w:rsid w:val="00376CD9"/>
    <w:rsid w:val="00382818"/>
    <w:rsid w:val="00387FAD"/>
    <w:rsid w:val="003907E2"/>
    <w:rsid w:val="00393075"/>
    <w:rsid w:val="003967E3"/>
    <w:rsid w:val="003B153C"/>
    <w:rsid w:val="003B3DF7"/>
    <w:rsid w:val="003B5382"/>
    <w:rsid w:val="003B770A"/>
    <w:rsid w:val="003E065F"/>
    <w:rsid w:val="003E54DC"/>
    <w:rsid w:val="003E5804"/>
    <w:rsid w:val="003F0A4C"/>
    <w:rsid w:val="003F14B2"/>
    <w:rsid w:val="003F166F"/>
    <w:rsid w:val="003F5C14"/>
    <w:rsid w:val="0040129E"/>
    <w:rsid w:val="004016D9"/>
    <w:rsid w:val="00404E9C"/>
    <w:rsid w:val="00420146"/>
    <w:rsid w:val="00421D39"/>
    <w:rsid w:val="00427874"/>
    <w:rsid w:val="004318C4"/>
    <w:rsid w:val="00442C56"/>
    <w:rsid w:val="00445299"/>
    <w:rsid w:val="00451079"/>
    <w:rsid w:val="004647AC"/>
    <w:rsid w:val="004719C9"/>
    <w:rsid w:val="004827AC"/>
    <w:rsid w:val="00485CA1"/>
    <w:rsid w:val="00491704"/>
    <w:rsid w:val="0049251F"/>
    <w:rsid w:val="00494EA4"/>
    <w:rsid w:val="004971A6"/>
    <w:rsid w:val="004A3A6B"/>
    <w:rsid w:val="004A6994"/>
    <w:rsid w:val="004C338A"/>
    <w:rsid w:val="004C3B18"/>
    <w:rsid w:val="004D3257"/>
    <w:rsid w:val="004E013C"/>
    <w:rsid w:val="004E5F72"/>
    <w:rsid w:val="004F0433"/>
    <w:rsid w:val="004F6820"/>
    <w:rsid w:val="00511996"/>
    <w:rsid w:val="00524B3F"/>
    <w:rsid w:val="005361C7"/>
    <w:rsid w:val="005435D4"/>
    <w:rsid w:val="00546B8F"/>
    <w:rsid w:val="0054797E"/>
    <w:rsid w:val="005511B2"/>
    <w:rsid w:val="005518F8"/>
    <w:rsid w:val="005521AA"/>
    <w:rsid w:val="0055373E"/>
    <w:rsid w:val="005659CE"/>
    <w:rsid w:val="005769FC"/>
    <w:rsid w:val="005853B2"/>
    <w:rsid w:val="005915B4"/>
    <w:rsid w:val="00591763"/>
    <w:rsid w:val="005A622A"/>
    <w:rsid w:val="005D15F5"/>
    <w:rsid w:val="005D23D3"/>
    <w:rsid w:val="005D3899"/>
    <w:rsid w:val="005F0C3D"/>
    <w:rsid w:val="005F1DF9"/>
    <w:rsid w:val="005F5BB8"/>
    <w:rsid w:val="006036A4"/>
    <w:rsid w:val="00611A10"/>
    <w:rsid w:val="00615F11"/>
    <w:rsid w:val="00617803"/>
    <w:rsid w:val="006237BF"/>
    <w:rsid w:val="00627277"/>
    <w:rsid w:val="00635B8E"/>
    <w:rsid w:val="00640218"/>
    <w:rsid w:val="006520C9"/>
    <w:rsid w:val="00653A7B"/>
    <w:rsid w:val="00661A3A"/>
    <w:rsid w:val="0066530C"/>
    <w:rsid w:val="00693691"/>
    <w:rsid w:val="00693D20"/>
    <w:rsid w:val="006B187A"/>
    <w:rsid w:val="006B2909"/>
    <w:rsid w:val="006B4FCA"/>
    <w:rsid w:val="006C08D4"/>
    <w:rsid w:val="006C2A7B"/>
    <w:rsid w:val="006C73E1"/>
    <w:rsid w:val="006D0663"/>
    <w:rsid w:val="006D4E3D"/>
    <w:rsid w:val="006E0808"/>
    <w:rsid w:val="006E233A"/>
    <w:rsid w:val="006E3659"/>
    <w:rsid w:val="006E5DD9"/>
    <w:rsid w:val="006E6F73"/>
    <w:rsid w:val="0071007C"/>
    <w:rsid w:val="00717490"/>
    <w:rsid w:val="00723F1A"/>
    <w:rsid w:val="0072423F"/>
    <w:rsid w:val="00725716"/>
    <w:rsid w:val="00734D9A"/>
    <w:rsid w:val="007406EE"/>
    <w:rsid w:val="007453B5"/>
    <w:rsid w:val="00747B1D"/>
    <w:rsid w:val="007646FE"/>
    <w:rsid w:val="007650B2"/>
    <w:rsid w:val="00772D0E"/>
    <w:rsid w:val="007744D9"/>
    <w:rsid w:val="0077480F"/>
    <w:rsid w:val="00777597"/>
    <w:rsid w:val="007804E6"/>
    <w:rsid w:val="007815A4"/>
    <w:rsid w:val="00790502"/>
    <w:rsid w:val="00790B5E"/>
    <w:rsid w:val="00793625"/>
    <w:rsid w:val="007A16E7"/>
    <w:rsid w:val="007A788B"/>
    <w:rsid w:val="007D6106"/>
    <w:rsid w:val="007F25A7"/>
    <w:rsid w:val="007F3F8F"/>
    <w:rsid w:val="007F6DD0"/>
    <w:rsid w:val="008020DC"/>
    <w:rsid w:val="00816AC5"/>
    <w:rsid w:val="0081798C"/>
    <w:rsid w:val="008305F4"/>
    <w:rsid w:val="008328F4"/>
    <w:rsid w:val="00841F73"/>
    <w:rsid w:val="0085044C"/>
    <w:rsid w:val="00853C30"/>
    <w:rsid w:val="00860298"/>
    <w:rsid w:val="00867DF1"/>
    <w:rsid w:val="00871E5A"/>
    <w:rsid w:val="00882215"/>
    <w:rsid w:val="00882926"/>
    <w:rsid w:val="008A2CFC"/>
    <w:rsid w:val="008A3CE0"/>
    <w:rsid w:val="008A68AF"/>
    <w:rsid w:val="008B0442"/>
    <w:rsid w:val="008B12DA"/>
    <w:rsid w:val="008B441A"/>
    <w:rsid w:val="008B4451"/>
    <w:rsid w:val="008C323F"/>
    <w:rsid w:val="008C3C9B"/>
    <w:rsid w:val="008C4F48"/>
    <w:rsid w:val="008D0020"/>
    <w:rsid w:val="008D1158"/>
    <w:rsid w:val="008D4320"/>
    <w:rsid w:val="008D6CC5"/>
    <w:rsid w:val="008E2AA3"/>
    <w:rsid w:val="008E4760"/>
    <w:rsid w:val="008F218C"/>
    <w:rsid w:val="008F6523"/>
    <w:rsid w:val="0090372C"/>
    <w:rsid w:val="00903B20"/>
    <w:rsid w:val="009103B7"/>
    <w:rsid w:val="009125A1"/>
    <w:rsid w:val="00917C77"/>
    <w:rsid w:val="00920A08"/>
    <w:rsid w:val="00920EF8"/>
    <w:rsid w:val="009215F9"/>
    <w:rsid w:val="0092290F"/>
    <w:rsid w:val="00922C0D"/>
    <w:rsid w:val="00924F07"/>
    <w:rsid w:val="0093099F"/>
    <w:rsid w:val="0094383B"/>
    <w:rsid w:val="009462DC"/>
    <w:rsid w:val="0096511F"/>
    <w:rsid w:val="00981B60"/>
    <w:rsid w:val="0098211A"/>
    <w:rsid w:val="00985A6E"/>
    <w:rsid w:val="0099492D"/>
    <w:rsid w:val="009A3EBC"/>
    <w:rsid w:val="009A793C"/>
    <w:rsid w:val="009B0234"/>
    <w:rsid w:val="009C70C4"/>
    <w:rsid w:val="009D10B8"/>
    <w:rsid w:val="009E3BC0"/>
    <w:rsid w:val="009E68E6"/>
    <w:rsid w:val="009E706F"/>
    <w:rsid w:val="009E7A0C"/>
    <w:rsid w:val="009F63DB"/>
    <w:rsid w:val="009F7533"/>
    <w:rsid w:val="00A10454"/>
    <w:rsid w:val="00A10EE1"/>
    <w:rsid w:val="00A13955"/>
    <w:rsid w:val="00A1660F"/>
    <w:rsid w:val="00A2225F"/>
    <w:rsid w:val="00A27678"/>
    <w:rsid w:val="00A30697"/>
    <w:rsid w:val="00A317B4"/>
    <w:rsid w:val="00A46D3B"/>
    <w:rsid w:val="00A47F17"/>
    <w:rsid w:val="00A50876"/>
    <w:rsid w:val="00A56706"/>
    <w:rsid w:val="00A65CC4"/>
    <w:rsid w:val="00A71DA8"/>
    <w:rsid w:val="00A733F4"/>
    <w:rsid w:val="00A77C2B"/>
    <w:rsid w:val="00A801E1"/>
    <w:rsid w:val="00A83004"/>
    <w:rsid w:val="00A90423"/>
    <w:rsid w:val="00AA0447"/>
    <w:rsid w:val="00AA708B"/>
    <w:rsid w:val="00AB3E4D"/>
    <w:rsid w:val="00AB4476"/>
    <w:rsid w:val="00AD07B8"/>
    <w:rsid w:val="00B04320"/>
    <w:rsid w:val="00B11E72"/>
    <w:rsid w:val="00B23B31"/>
    <w:rsid w:val="00B24F48"/>
    <w:rsid w:val="00B4332A"/>
    <w:rsid w:val="00B62BB2"/>
    <w:rsid w:val="00B878F0"/>
    <w:rsid w:val="00B9735C"/>
    <w:rsid w:val="00BA1A41"/>
    <w:rsid w:val="00BB3D38"/>
    <w:rsid w:val="00BC1A77"/>
    <w:rsid w:val="00BC498A"/>
    <w:rsid w:val="00BC78C9"/>
    <w:rsid w:val="00BD3C51"/>
    <w:rsid w:val="00BE5CCE"/>
    <w:rsid w:val="00BF6A5D"/>
    <w:rsid w:val="00BF7FD9"/>
    <w:rsid w:val="00C0326D"/>
    <w:rsid w:val="00C06C82"/>
    <w:rsid w:val="00C13AC4"/>
    <w:rsid w:val="00C16D5B"/>
    <w:rsid w:val="00C2240B"/>
    <w:rsid w:val="00C24C71"/>
    <w:rsid w:val="00C42118"/>
    <w:rsid w:val="00C455F7"/>
    <w:rsid w:val="00C53087"/>
    <w:rsid w:val="00C62A98"/>
    <w:rsid w:val="00C64569"/>
    <w:rsid w:val="00C6557B"/>
    <w:rsid w:val="00C66074"/>
    <w:rsid w:val="00C73F57"/>
    <w:rsid w:val="00C81C7E"/>
    <w:rsid w:val="00C8592D"/>
    <w:rsid w:val="00C9147A"/>
    <w:rsid w:val="00C91667"/>
    <w:rsid w:val="00C93FC3"/>
    <w:rsid w:val="00CA0CE3"/>
    <w:rsid w:val="00CB04FF"/>
    <w:rsid w:val="00CB0A5B"/>
    <w:rsid w:val="00CB67AF"/>
    <w:rsid w:val="00CC5E96"/>
    <w:rsid w:val="00CC6C67"/>
    <w:rsid w:val="00CD1E69"/>
    <w:rsid w:val="00CE6A97"/>
    <w:rsid w:val="00CF4A1F"/>
    <w:rsid w:val="00D077BA"/>
    <w:rsid w:val="00D16F58"/>
    <w:rsid w:val="00D30A41"/>
    <w:rsid w:val="00D34E55"/>
    <w:rsid w:val="00D35AB5"/>
    <w:rsid w:val="00D71482"/>
    <w:rsid w:val="00D7178D"/>
    <w:rsid w:val="00D74645"/>
    <w:rsid w:val="00D76459"/>
    <w:rsid w:val="00D76AFE"/>
    <w:rsid w:val="00D85E7C"/>
    <w:rsid w:val="00D860BB"/>
    <w:rsid w:val="00D908BF"/>
    <w:rsid w:val="00DB1175"/>
    <w:rsid w:val="00DB7253"/>
    <w:rsid w:val="00DC0D12"/>
    <w:rsid w:val="00DC5EEB"/>
    <w:rsid w:val="00DC5F79"/>
    <w:rsid w:val="00DC7F61"/>
    <w:rsid w:val="00DD2F89"/>
    <w:rsid w:val="00DD65AF"/>
    <w:rsid w:val="00DE41DF"/>
    <w:rsid w:val="00DF6812"/>
    <w:rsid w:val="00DF6AFA"/>
    <w:rsid w:val="00DF7DFF"/>
    <w:rsid w:val="00E07E38"/>
    <w:rsid w:val="00E1202C"/>
    <w:rsid w:val="00E255DC"/>
    <w:rsid w:val="00E31F9B"/>
    <w:rsid w:val="00E320B6"/>
    <w:rsid w:val="00E4015D"/>
    <w:rsid w:val="00E423EC"/>
    <w:rsid w:val="00E43487"/>
    <w:rsid w:val="00E56C1E"/>
    <w:rsid w:val="00E66349"/>
    <w:rsid w:val="00E6686E"/>
    <w:rsid w:val="00E67CBA"/>
    <w:rsid w:val="00E72DF7"/>
    <w:rsid w:val="00E81BA4"/>
    <w:rsid w:val="00EA0A04"/>
    <w:rsid w:val="00EA492E"/>
    <w:rsid w:val="00EB3F67"/>
    <w:rsid w:val="00EB78DB"/>
    <w:rsid w:val="00EC04C7"/>
    <w:rsid w:val="00EC18B4"/>
    <w:rsid w:val="00EC5280"/>
    <w:rsid w:val="00EC5B24"/>
    <w:rsid w:val="00ED6CCE"/>
    <w:rsid w:val="00ED704B"/>
    <w:rsid w:val="00ED7675"/>
    <w:rsid w:val="00EE3C8E"/>
    <w:rsid w:val="00EE4D99"/>
    <w:rsid w:val="00EE630E"/>
    <w:rsid w:val="00EE7101"/>
    <w:rsid w:val="00EF7748"/>
    <w:rsid w:val="00F04B4F"/>
    <w:rsid w:val="00F31CF9"/>
    <w:rsid w:val="00F33D76"/>
    <w:rsid w:val="00F35D87"/>
    <w:rsid w:val="00F4789F"/>
    <w:rsid w:val="00F56919"/>
    <w:rsid w:val="00F60A8E"/>
    <w:rsid w:val="00F77DD8"/>
    <w:rsid w:val="00F80993"/>
    <w:rsid w:val="00F86700"/>
    <w:rsid w:val="00F9088B"/>
    <w:rsid w:val="00F95075"/>
    <w:rsid w:val="00F96E20"/>
    <w:rsid w:val="00FA5AF5"/>
    <w:rsid w:val="00FB3DBB"/>
    <w:rsid w:val="00FC0C40"/>
    <w:rsid w:val="00FC53D5"/>
    <w:rsid w:val="00FD146C"/>
    <w:rsid w:val="00FE0551"/>
    <w:rsid w:val="00FE0814"/>
    <w:rsid w:val="00FE27B2"/>
    <w:rsid w:val="00FE6E5F"/>
    <w:rsid w:val="00FF0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paragraph" w:styleId="Heading3">
    <w:name w:val="heading 3"/>
    <w:basedOn w:val="Normal"/>
    <w:next w:val="Normal"/>
    <w:link w:val="Heading3Char"/>
    <w:uiPriority w:val="9"/>
    <w:semiHidden/>
    <w:unhideWhenUsed/>
    <w:qFormat/>
    <w:rsid w:val="003042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styleId="Caption">
    <w:name w:val="caption"/>
    <w:basedOn w:val="Normal"/>
    <w:next w:val="Normal"/>
    <w:uiPriority w:val="35"/>
    <w:unhideWhenUsed/>
    <w:qFormat/>
    <w:rsid w:val="00FB3DBB"/>
    <w:pPr>
      <w:spacing w:after="200"/>
    </w:pPr>
    <w:rPr>
      <w:rFonts w:asciiTheme="minorHAnsi" w:eastAsiaTheme="minorHAnsi" w:hAnsiTheme="minorHAnsi" w:cstheme="minorBidi"/>
      <w:i/>
      <w:iCs/>
      <w:color w:val="1F497D" w:themeColor="text2"/>
      <w:sz w:val="18"/>
      <w:szCs w:val="18"/>
    </w:rPr>
  </w:style>
  <w:style w:type="character" w:customStyle="1" w:styleId="Heading3Char">
    <w:name w:val="Heading 3 Char"/>
    <w:basedOn w:val="DefaultParagraphFont"/>
    <w:link w:val="Heading3"/>
    <w:uiPriority w:val="9"/>
    <w:semiHidden/>
    <w:rsid w:val="0030427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94EA4"/>
    <w:rPr>
      <w:sz w:val="16"/>
      <w:szCs w:val="16"/>
    </w:rPr>
  </w:style>
  <w:style w:type="paragraph" w:styleId="CommentText">
    <w:name w:val="annotation text"/>
    <w:basedOn w:val="Normal"/>
    <w:link w:val="CommentTextChar"/>
    <w:uiPriority w:val="99"/>
    <w:semiHidden/>
    <w:unhideWhenUsed/>
    <w:rsid w:val="00494EA4"/>
    <w:rPr>
      <w:sz w:val="20"/>
      <w:szCs w:val="20"/>
    </w:rPr>
  </w:style>
  <w:style w:type="character" w:customStyle="1" w:styleId="CommentTextChar">
    <w:name w:val="Comment Text Char"/>
    <w:basedOn w:val="DefaultParagraphFont"/>
    <w:link w:val="CommentText"/>
    <w:uiPriority w:val="99"/>
    <w:semiHidden/>
    <w:rsid w:val="00494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EA4"/>
    <w:rPr>
      <w:b/>
      <w:bCs/>
    </w:rPr>
  </w:style>
  <w:style w:type="character" w:customStyle="1" w:styleId="CommentSubjectChar">
    <w:name w:val="Comment Subject Char"/>
    <w:basedOn w:val="CommentTextChar"/>
    <w:link w:val="CommentSubject"/>
    <w:uiPriority w:val="99"/>
    <w:semiHidden/>
    <w:rsid w:val="00494EA4"/>
    <w:rPr>
      <w:rFonts w:ascii="Times New Roman" w:eastAsia="Times New Roman" w:hAnsi="Times New Roman" w:cs="Times New Roman"/>
      <w:b/>
      <w:bCs/>
      <w:sz w:val="20"/>
      <w:szCs w:val="20"/>
    </w:rPr>
  </w:style>
  <w:style w:type="table" w:styleId="TableGrid">
    <w:name w:val="Table Grid"/>
    <w:basedOn w:val="TableNormal"/>
    <w:uiPriority w:val="59"/>
    <w:rsid w:val="00FE055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290F"/>
    <w:pPr>
      <w:spacing w:after="0" w:line="240" w:lineRule="auto"/>
      <w:ind w:left="2160" w:hanging="2160"/>
    </w:pPr>
  </w:style>
  <w:style w:type="paragraph" w:customStyle="1" w:styleId="Default">
    <w:name w:val="Default"/>
    <w:rsid w:val="0092290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 w:id="15025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4237F011-7ACC-49C8-9635-CCAA42AF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ASUS</cp:lastModifiedBy>
  <cp:revision>133</cp:revision>
  <cp:lastPrinted>2018-03-26T03:58:00Z</cp:lastPrinted>
  <dcterms:created xsi:type="dcterms:W3CDTF">2018-11-20T14:33:00Z</dcterms:created>
  <dcterms:modified xsi:type="dcterms:W3CDTF">2019-01-02T14:42:00Z</dcterms:modified>
</cp:coreProperties>
</file>